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Style21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>
      <w:pPr>
        <w:pStyle w:val="Style21"/>
        <w:ind w:firstLine="540"/>
        <w:rPr>
          <w:caps/>
        </w:rPr>
      </w:pPr>
      <w:r>
        <w:rPr>
          <w:caps/>
        </w:rPr>
        <w:t>АКСАКОВСКИЙ сельсовет</w:t>
      </w:r>
    </w:p>
    <w:p>
      <w:pPr>
        <w:pStyle w:val="Style21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 </w:t>
      </w:r>
      <w:bookmarkStart w:id="0" w:name="_Hlk51667561"/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созыв)</w:t>
      </w:r>
    </w:p>
    <w:p>
      <w:pPr>
        <w:pStyle w:val="Style21"/>
        <w:ind w:firstLine="540"/>
        <w:rPr>
          <w:bCs w:val="false"/>
          <w:kern w:val="0"/>
          <w:szCs w:val="20"/>
        </w:rPr>
      </w:pPr>
      <w:r>
        <w:rPr>
          <w:bCs w:val="false"/>
          <w:kern w:val="0"/>
          <w:szCs w:val="20"/>
        </w:rPr>
      </w:r>
    </w:p>
    <w:p>
      <w:pPr>
        <w:pStyle w:val="Style21"/>
        <w:ind w:firstLine="540"/>
        <w:rPr>
          <w:caps/>
          <w:sz w:val="24"/>
          <w:szCs w:val="24"/>
        </w:rPr>
      </w:pPr>
      <w:r>
        <w:rPr>
          <w:bCs w:val="false"/>
          <w:kern w:val="0"/>
          <w:szCs w:val="20"/>
        </w:rPr>
        <w:t>проект</w:t>
      </w:r>
    </w:p>
    <w:p>
      <w:pPr>
        <w:pStyle w:val="Style21"/>
        <w:ind w:firstLine="54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2022 год и плановый период 2023 и 2024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Статья 1.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муниципального образования Аксаковский сельсовет (далее-местный бюджет) на 2022 год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в сумме 7900,6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7900,6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в сумме 0, 0 тыс. рублей;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2023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муниципального образования Аксаковский сельсовет на 2023 и 2024 годы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2023 год в – 7296,8 тыс. рублей, на 2024 год – 6977,4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2023 год в – 7296,8 тыс. рублей, в том числе условно утвержденные расходы – 170,8 тыс. рублей, на 2024 год – 6977,4 тыс. рублей, в том числе условно утвержденные расходы – 343,0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2023 год - 0,0 тыс. рублей, на 2024 год - 0,0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2024 года – 0,0 тыс. рублей, в том числе верхний предел долга по муниципальным гарантиям – 0,0 тыс. рублей, верхний предел муниципального внутреннего долга муниципального образования Аксаковский сельсовет на 1 января 2025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  <w:szCs w:val="28"/>
        </w:rPr>
        <w:t>Статья 2.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Учесть поступление доходов в бюджет муниципального образования по кодам видов (подвидов) доходов на 2022 год и на плановый период 2023 и 2024 годов, согласно приложению №1 к настоящему Решению.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2022 год и на  плановый  период 2023 и 2024 годов согласно приложению 2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 расходов бюджета муниципального образования  Аксаковский сельсовет на 2022 год и на плановый период 2023 и 2024 годов согласно приложению №3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 Аксаковский сельсовет на 2022 год и на плановый период  2023 и 2024 годов по разделам, подразделам, целевым статьям (муниципальным программам и непрограммным направлениям деятельности) и группам и подгруппам видов расходов классификации расходов согласно приложению №4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 распределение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бюджетных ассигнований бюджета муниципального образования  Аксаковский сельсовет на 2022 год и на плановый период 2023 и 2024 годов по целевым статьям (муниципальным программам и непрограммным направлениям деятельности), разделам, подразделам, группам  и  подгруппам видов расходов классификации расходов бюджетов, согласно приложению  №5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2">
        <w:r>
          <w:rPr>
            <w:rFonts w:eastAsia="Calibri"/>
            <w:sz w:val="28"/>
            <w:szCs w:val="28"/>
            <w:lang w:eastAsia="en-US"/>
          </w:rPr>
          <w:t>классификации</w:t>
        </w:r>
      </w:hyperlink>
      <w:r>
        <w:rPr>
          <w:rFonts w:eastAsia="Calibri"/>
          <w:sz w:val="28"/>
          <w:szCs w:val="28"/>
          <w:lang w:eastAsia="en-US"/>
        </w:rPr>
        <w:t>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образования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доведенных объемов средств федерального  и областного бюджета;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перераспределение бюджетных ассигнований, предусмотренных главному распорядителю средств местного бюджета, между разделами, подразделами, целевыми статьями, видами расходов в целях исполнения обязательств бюджета в пределах общего объема бюджетных ассигнований бюджета муниципального образования;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и (или) нормативными правовыми актами, устанавливающими правила предоставления межбюджетных трансфертов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</w:t>
      </w:r>
      <w:r>
        <w:rPr>
          <w:sz w:val="28"/>
          <w:szCs w:val="28"/>
        </w:rPr>
        <w:t>средств бюджета муниципального  образования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муниципального образования.</w:t>
      </w:r>
    </w:p>
    <w:p>
      <w:pPr>
        <w:pStyle w:val="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 муниципального образования;</w:t>
      </w:r>
    </w:p>
    <w:p>
      <w:pPr>
        <w:pStyle w:val="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образования.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перераспределение бюджетных ассигнований, предусмотренных на уплату налога на имущество организаций;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 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«</w:t>
      </w:r>
      <w:r>
        <w:rPr>
          <w:sz w:val="28"/>
          <w:szCs w:val="28"/>
        </w:rPr>
        <w:t>Аксаковский</w:t>
      </w:r>
      <w:r>
        <w:rPr>
          <w:color w:val="000000"/>
          <w:sz w:val="28"/>
          <w:szCs w:val="28"/>
        </w:rPr>
        <w:t xml:space="preserve"> сельсовет»;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>
        <w:rPr>
          <w:sz w:val="28"/>
          <w:szCs w:val="28"/>
        </w:rPr>
        <w:t>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перераспределение бюджетных ассигнований главных распорядителей средств местного бюджета по разделам, подразделам, целевым статьям, видам расходов в целях исполнения обязательств местного бюджета в пределах общего объема бюджетных ассигнований местного бюджета;</w:t>
      </w:r>
    </w:p>
    <w:p>
      <w:pPr>
        <w:pStyle w:val="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перераспределение бюджетных ассигнований, предусмотренных главному распорядителю, в случае возникновения экономии бюджетных средств по итогам осуществления закупок товаров, работ, услуг для муниципальных нужд;</w:t>
      </w:r>
    </w:p>
    <w:p>
      <w:pPr>
        <w:pStyle w:val="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увеличение бюджетных ассигнований в целях повышения оплаты труда отдельных категорий работников бюджетной сферы, поименованных в Указах Президента Российской Федерации от 7 мая 2012 года, исходя из ожидаемого исполнения местного бюджета по доходам сверх утвержденных на текущий год назначений.</w:t>
      </w:r>
    </w:p>
    <w:p>
      <w:pPr>
        <w:pStyle w:val="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</w:t>
      </w:r>
      <w:r>
        <w:rPr>
          <w:color w:val="000000"/>
          <w:sz w:val="28"/>
          <w:szCs w:val="28"/>
        </w:rPr>
        <w:t xml:space="preserve"> изменений, утвержденных после 15 ноября 2022 года),</w:t>
      </w:r>
      <w:r>
        <w:rPr>
          <w:sz w:val="28"/>
          <w:szCs w:val="28"/>
        </w:rPr>
        <w:t xml:space="preserve"> учитываются при последующем внесении изменений в настоящее Решение</w:t>
      </w:r>
      <w:r>
        <w:rPr>
          <w:rFonts w:eastAsia="Arial Unicode MS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источники финансирования дефицита бюджета муниципального образования Аксаковский сельсовет на 2022 год и на плановый период 2023 и 2024 годов согласно приложению №6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трансфертов, подлежащих перечислению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2022 год в сумме 1512,6 тыс. рублей, на 2023 год в сумме 1512,6 тыс. рублей и 2024 год в сумме 1312,6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1.Утвердить основные  параметры первоочередных  расходов бюджета  </w:t>
      </w:r>
      <w:r>
        <w:rPr>
          <w:sz w:val="28"/>
          <w:szCs w:val="28"/>
        </w:rPr>
        <w:t>муниципального образования Аксаковский сельсовет</w:t>
      </w:r>
      <w:r>
        <w:rPr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>на 2022 год в сумме 3091,5  тыс. рублей, в т.ч. на оплату труда с начислениями в сумме 1511,0  тыс. рублей, на оплату коммунальных услуг учреждений, в сумме 1580,5 тыс. рублей.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распределение основных параметров первоочередных расходов на 2022 год согласно приложению 7 к настоящему Решению.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муниципальных внутренних заимствований муниципального образования Аксаковский сельсовет на 2022 год и плановый период  2023 и 2024 годов согласно приложению №8 к настоящему Решению.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12</w:t>
      </w:r>
      <w:r>
        <w:rPr>
          <w:iCs/>
          <w:sz w:val="28"/>
          <w:szCs w:val="28"/>
        </w:rPr>
        <w:t>.</w:t>
      </w:r>
    </w:p>
    <w:p>
      <w:pPr>
        <w:pStyle w:val="Normal"/>
        <w:ind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Предоставление муниципальных гарантий на 2022 год и на плановый период 2023 и 2024 годов не предусматривается.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2.Бюджетные ассигнования на возможное исполнение муниципальных гарантий по гарантийным случаям на 2022 год и на плановый период 2023 и 2024 годов не предусматриваются.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13.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главным распорядителем средств местного бюджета муниципальное образование Аксаковский сельсовет на 2022 год и на плановый период 2023 и 2024 годов, с присвоением ведомственного кода классификатора 013.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14</w:t>
      </w:r>
      <w:r>
        <w:rPr>
          <w:sz w:val="28"/>
          <w:szCs w:val="28"/>
        </w:rPr>
        <w:t xml:space="preserve">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не использованные по состоянию на 1 января 2022 года остатки межбюджетных трансфертов, представленных из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течении первых 10 рабочих дней 2022 года.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15</w:t>
      </w:r>
      <w:r>
        <w:rPr>
          <w:sz w:val="28"/>
          <w:szCs w:val="28"/>
        </w:rPr>
        <w:t xml:space="preserve">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размеры окладов денежного содержания по должностям муниципальной  службы Аксаковского сельсовета  не индексируются.</w:t>
      </w:r>
    </w:p>
    <w:p>
      <w:pPr>
        <w:pStyle w:val="Normal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16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(обнародования), но не ранее1 января 2022 года</w:t>
      </w:r>
      <w:bookmarkStart w:id="1" w:name="_GoBack"/>
      <w:bookmarkEnd w:id="1"/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«Аксаковский сельсовет» на 2022 год 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плановый период 2023 и 2024 годов 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(подвидов) доходов                                               на 2022 год и на плановый период 2023 и 2024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</w:t>
      </w:r>
      <w:r>
        <w:rPr/>
        <w:t>Тыс.руб.</w:t>
      </w:r>
    </w:p>
    <w:tbl>
      <w:tblPr>
        <w:tblW w:w="15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8156"/>
        <w:gridCol w:w="1342"/>
        <w:gridCol w:w="1450"/>
        <w:gridCol w:w="1307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jc w:val="left"/>
              <w:rPr>
                <w:szCs w:val="24"/>
              </w:rPr>
            </w:pPr>
            <w:r>
              <w:rPr>
                <w:szCs w:val="24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4490,5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4556,1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352,0</w:t>
            </w:r>
          </w:p>
        </w:tc>
      </w:tr>
      <w:tr>
        <w:trPr>
          <w:trHeight w:val="112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5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342,0</w:t>
            </w:r>
          </w:p>
        </w:tc>
      </w:tr>
      <w:tr>
        <w:trPr>
          <w:trHeight w:val="83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>
              <w:r>
                <w:rPr>
                  <w:sz w:val="24"/>
                  <w:szCs w:val="24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2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</w:tr>
      <w:tr>
        <w:trPr>
          <w:trHeight w:val="115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</w:tr>
      <w:tr>
        <w:trPr>
          <w:trHeight w:val="173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</w:tr>
      <w:tr>
        <w:trPr>
          <w:trHeight w:val="50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94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ind w:left="34" w:right="170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ind w:left="34" w:right="170" w:hanging="0"/>
              <w:jc w:val="both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111 05020 00 0000 120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Доходы, получаемые в виде арендной платы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 xml:space="preserve">указанных земельных участков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122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111 05025 10 0000 120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170" w:hanging="0"/>
              <w:contextualSpacing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7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3410,1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2740,7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2357,4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3410,1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2740,7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2357,4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2240,0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117,4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112,8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112,8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7900,6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7296,8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6977,4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2022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годов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2022 год и на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right="-17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490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738"/>
        <w:gridCol w:w="9640"/>
        <w:gridCol w:w="1274"/>
        <w:gridCol w:w="1276"/>
        <w:gridCol w:w="1276"/>
      </w:tblGrid>
      <w:tr>
        <w:trPr>
          <w:trHeight w:val="70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2142,5</w:t>
            </w:r>
          </w:p>
        </w:tc>
      </w:tr>
      <w:tr>
        <w:trPr>
          <w:trHeight w:val="56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</w:tr>
      <w:tr>
        <w:trPr>
          <w:trHeight w:val="75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1190,5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112,8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112,8</w:t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>
        <w:trPr>
          <w:trHeight w:val="40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2301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1005,0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6977,4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2022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2022 год и на плановый период 2023 и 2024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59"/>
        <w:gridCol w:w="709"/>
        <w:gridCol w:w="1276"/>
        <w:gridCol w:w="1134"/>
        <w:gridCol w:w="1226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главы 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013      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7296,8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6538,9</w:t>
            </w:r>
          </w:p>
        </w:tc>
      </w:tr>
      <w:tr>
        <w:trPr>
          <w:trHeight w:val="391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2142,5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1190,5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«Обеспечение деятельности аппарата управления сельсовета»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10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112,8</w:t>
            </w:r>
          </w:p>
        </w:tc>
      </w:tr>
      <w:tr>
        <w:trPr>
          <w:trHeight w:val="11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47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«Мероприятие в области градорегулирования»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01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60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 xml:space="preserve">области водоснабжения муниципального образования сельсовета на 2019-2024 годы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1005,0</w:t>
            </w:r>
          </w:p>
        </w:tc>
      </w:tr>
      <w:tr>
        <w:trPr>
          <w:trHeight w:val="100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905,0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0000000000 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7296,8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6977,4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2022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2022 год и на плановый период 2023 и 2024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09"/>
        <w:gridCol w:w="567"/>
        <w:gridCol w:w="1560"/>
        <w:gridCol w:w="708"/>
        <w:gridCol w:w="1276"/>
        <w:gridCol w:w="1275"/>
        <w:gridCol w:w="1133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2887,0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2142,5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1190,5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«Обеспечение деятельности аппарата управления сельсовета»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431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112,8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«Меры поддержки общественных объединений  пожарной  охраны и добровольных пожарных в Бугурусланском районе»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86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 xml:space="preserve">области водоснабжения муниципального образования сельсовета на 2019-2024 годы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1005,0</w:t>
            </w:r>
          </w:p>
        </w:tc>
      </w:tr>
      <w:tr>
        <w:trPr>
          <w:trHeight w:val="100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73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905,0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0000000000 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6977,4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№5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2022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годов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2022 году и плановый период 2023 и 2024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339" w:type="dxa"/>
        <w:jc w:val="left"/>
        <w:tblInd w:w="-2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3"/>
        <w:gridCol w:w="1554"/>
        <w:gridCol w:w="704"/>
        <w:gridCol w:w="561"/>
        <w:gridCol w:w="705"/>
        <w:gridCol w:w="986"/>
        <w:gridCol w:w="988"/>
        <w:gridCol w:w="986"/>
      </w:tblGrid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КЦСР </w:t>
            </w:r>
          </w:p>
        </w:tc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27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19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1776,0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1753,5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1390,5</w:t>
            </w:r>
          </w:p>
        </w:tc>
      </w:tr>
      <w:tr>
        <w:trPr>
          <w:trHeight w:val="74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 на 2019-2024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59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82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 на 2019-2024 годы»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102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1892,5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1938,1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1979,0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1892,5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  на 2019-2024 годы»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68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45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4063,2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3128,0</w:t>
            </w:r>
          </w:p>
        </w:tc>
      </w:tr>
      <w:tr>
        <w:trPr>
          <w:trHeight w:val="54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151</w:t>
            </w:r>
            <w:r>
              <w:rPr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2477,4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1708,2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1156,3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61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152</w:t>
            </w:r>
            <w:r>
              <w:rPr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1585,8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1589,3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1393,1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 на 2021-2026 годы»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1800160010 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7900,6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7296,8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6977,4</w:t>
            </w:r>
          </w:p>
        </w:tc>
      </w:tr>
    </w:tbl>
    <w:p>
      <w:pPr>
        <w:pStyle w:val="Normal"/>
        <w:ind w:right="-598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2022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годов  </w:t>
      </w:r>
    </w:p>
    <w:p>
      <w:pPr>
        <w:pStyle w:val="Normal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на 2022 год и на плановый период 2023 и 2024 годов</w:t>
      </w:r>
    </w:p>
    <w:p>
      <w:pPr>
        <w:pStyle w:val="Normal"/>
        <w:jc w:val="righ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6"/>
        <w:gridCol w:w="8080"/>
        <w:gridCol w:w="1135"/>
        <w:gridCol w:w="1274"/>
        <w:gridCol w:w="1135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-7900,6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-6977,4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-7900,6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-6977,4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-7900,6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-6977,4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-7900,6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-6977,4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6977,4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6977,4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6977,4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6977,4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2022 год и на плановый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2023 и 2024 годов»</w:t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bCs/>
          <w:color w:val="000000"/>
          <w:sz w:val="24"/>
          <w:szCs w:val="24"/>
        </w:rPr>
        <w:t>от   28.12.2020 года №20</w:t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 первоочередных расходов бюджета муниципального образования  Аксаковский сельсовет Бугурусланского района Оренбургской области на 2022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3"/>
        <w:gridCol w:w="6556"/>
        <w:gridCol w:w="1951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1511,0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 т.ч.: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оплату коммунальных услуг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1580,5</w:t>
            </w:r>
          </w:p>
        </w:tc>
      </w:tr>
    </w:tbl>
    <w:p>
      <w:p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keepNext w:val="true"/>
        <w:numPr>
          <w:ilvl w:val="0"/>
          <w:numId w:val="0"/>
        </w:numPr>
        <w:spacing w:before="240" w:after="60"/>
        <w:ind w:firstLine="10080"/>
        <w:jc w:val="right"/>
        <w:outlineLvl w:val="0"/>
        <w:rPr>
          <w:rFonts w:cs="Arial"/>
          <w:bCs/>
          <w:kern w:val="2"/>
          <w:sz w:val="24"/>
          <w:szCs w:val="24"/>
        </w:rPr>
      </w:pPr>
      <w:r>
        <w:rPr>
          <w:rFonts w:cs="Arial"/>
          <w:bCs/>
          <w:kern w:val="2"/>
          <w:sz w:val="24"/>
          <w:szCs w:val="24"/>
        </w:rPr>
        <w:t>Приложение №8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на 2022 год и на плановый период 2023 и 2024 годов»</w:t>
      </w:r>
    </w:p>
    <w:p>
      <w:pPr>
        <w:pStyle w:val="Normal"/>
        <w:ind w:firstLine="8505"/>
        <w:jc w:val="right"/>
        <w:rPr>
          <w:sz w:val="4"/>
          <w:szCs w:val="24"/>
          <w:vertAlign w:val="subscript"/>
        </w:rPr>
      </w:pPr>
      <w:r>
        <w:rPr>
          <w:sz w:val="4"/>
          <w:szCs w:val="24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Аксаковский сельсовет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 на 2022 год и на плановый период 2023 и 2024 годов</w:t>
      </w:r>
    </w:p>
    <w:p>
      <w:pPr>
        <w:pStyle w:val="Normal"/>
        <w:jc w:val="both"/>
        <w:rPr>
          <w:sz w:val="2"/>
          <w:szCs w:val="28"/>
          <w:vertAlign w:val="subscript"/>
        </w:rPr>
      </w:pPr>
      <w:r>
        <w:rPr>
          <w:sz w:val="2"/>
          <w:szCs w:val="28"/>
          <w:vertAlign w:val="subscript"/>
        </w:rPr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(тыс. рублей)</w:t>
      </w:r>
    </w:p>
    <w:tbl>
      <w:tblPr>
        <w:tblW w:w="143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0"/>
        <w:gridCol w:w="1847"/>
        <w:gridCol w:w="2000"/>
        <w:gridCol w:w="1845"/>
        <w:gridCol w:w="2000"/>
        <w:gridCol w:w="1854"/>
        <w:gridCol w:w="2000"/>
      </w:tblGrid>
      <w:tr>
        <w:trPr>
          <w:tblHeader w:val="true"/>
          <w:trHeight w:val="15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 2022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</w:t>
            </w:r>
          </w:p>
        </w:tc>
      </w:tr>
      <w:tr>
        <w:trPr>
          <w:trHeight w:val="855" w:hRule="atLeas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ind w:left="34" w:hang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ind w:left="34" w:hang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>-----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</w:t>
            </w:r>
          </w:p>
        </w:tc>
      </w:tr>
      <w:tr>
        <w:trPr>
          <w:trHeight w:val="887" w:hRule="exac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кредитов, привлеченных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Погашение бюджетных кредитов, полученных из других бюджетов бюджетной системы Российской Федерации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</w:tr>
    </w:tbl>
    <w:p>
      <w:pPr>
        <w:sectPr>
          <w:type w:val="nextPage"/>
          <w:pgSz w:orient="landscape" w:w="16838" w:h="11906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numPr>
          <w:ilvl w:val="0"/>
          <w:numId w:val="0"/>
        </w:numPr>
        <w:outlineLvl w:val="0"/>
        <w:rPr>
          <w:color w:val="FF0000"/>
          <w:sz w:val="28"/>
          <w:szCs w:val="28"/>
          <w:lang w:val="en-US"/>
        </w:rPr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e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eastAsia="ru-RU" w:val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3" Type="http://schemas.openxmlformats.org/officeDocument/2006/relationships/hyperlink" Target="consultantplus://offline/ref=054DA0CA52BA57219EBC8EBF4A1A1929E541C4D03A91842C946E2A9D19F25862F0C58FCB22FAoBY9D" TargetMode="External"/><Relationship Id="rId4" Type="http://schemas.openxmlformats.org/officeDocument/2006/relationships/hyperlink" Target="consultantplus://offline/ref=054DA0CA52BA57219EBC8EBF4A1A1929E541C4D03A91842C946E2A9D19F25862F0C58FCD27F3oBY2D" TargetMode="External"/><Relationship Id="rId5" Type="http://schemas.openxmlformats.org/officeDocument/2006/relationships/hyperlink" Target="consultantplus://offline/ref=054DA0CA52BA57219EBC8EBF4A1A1929E541C4D03A91842C946E2A9D19F25862F0C58FC922FAB442oFY2D" TargetMode="External"/><Relationship Id="rId6" Type="http://schemas.openxmlformats.org/officeDocument/2006/relationships/hyperlink" Target="consultantplus://offline/ref=2D600DE88F1F0E6629CBA98A81B44B0564AD0E2AB9C75338D643C7071C6DF3A159DD296EAC929ACBO1jBF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851F-475C-4D67-AFD2-D31FB58F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40</Pages>
  <Words>7887</Words>
  <Characters>51825</Characters>
  <CharactersWithSpaces>57629</CharactersWithSpaces>
  <Paragraphs>2914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2021-11-25T13:19:00Z</dcterms:created>
  <dc:creator>1</dc:creator>
  <dc:description/>
  <dc:language>ru-RU</dc:language>
  <cp:lastModifiedBy/>
  <cp:lastPrinted>2021-11-19T07:12:00Z</cp:lastPrinted>
  <dcterms:modified xsi:type="dcterms:W3CDTF">2021-11-26T09:47:20Z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