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5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995" cy="635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pt,7.15pt" to="490.6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28.12.2021</w:t>
      </w:r>
      <w:r>
        <w:rPr>
          <w:b/>
          <w:sz w:val="28"/>
          <w:szCs w:val="28"/>
        </w:rPr>
        <w:t xml:space="preserve">                                      с. Аксаково                                              №  </w:t>
      </w:r>
      <w:r>
        <w:rPr>
          <w:b/>
          <w:sz w:val="28"/>
          <w:szCs w:val="28"/>
        </w:rPr>
        <w:t>60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2022 год и плановый период 2023 и 2024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2022 год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в сумме 8299,9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8299,9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в сумме 0, 0 тыс. рублей;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2023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2023 и 2024 годы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2023 год в – 7896,1 тыс. рублей, на 2024 год – 6976,7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2023 год в – 7896,1 тыс. рублей, в том числе условно утвержденные расходы – 170,8 тыс. рублей, на 2024 год – 6976,7 тыс. рублей, в том числе условно утвержденные расходы – 343,0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2023 год - 0,0 тыс. рублей, на 2024 год - 0,0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</w:rPr>
        <w:tab/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2022 год и на плановый период 2023 и 2024 годов, согласно приложению №1 к настоящему Решению.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 плановый  период 2023 и 2024 годов согласно приложению 2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2022 год и на плановый период 2023 и 2024 годов согласно приложению №3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2022 год и на плановый период  2023 и 2024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№4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2022 год и на плановый период 2023 и 2024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 района и (или) нормативными правовыми актами, устанавливающими правила предоставления межбюджетных трансфертов;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2022 года), учитываются при последующем внесении изменений в настоящее Решение.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2022 год и на плановый период 2023 и 2024 годов согласно приложению №6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1512,6 тыс. рублей, на 2023 год в сумме 1512,6 тыс. рублей и 2024 год в сумме 1512,6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2022 год в сумме 3100,2  тыс. рублей, в т.ч. на оплату труда с начислениями в сумме 1519,7  тыс. рублей, на оплату коммунальных услуг учреждений, в сумме 1580,5 тыс. рублей.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2022 год согласно приложению 7 к настоящему Решению.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2022 год и плановый период  2023 и 2024 годов согласно приложению №8 к настоящему Решению.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Предоставление муниципальных гарантий на 2022 год и на плановый период 2023 и 2024 годов не предусматривается.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2022 год и на плановый период 2023 и 2024 годов не предусматриваются.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13.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2 статьи 184.1 Бюджетного кодекса Российской Федерации установить норматив зачисления доходов от безвозмездных поступлений в бюджет муниципального образования – 100 процентов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14.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Установить, что размеры окладов денежного содержания по должностям муниципальной  службы МО Аксаковский сельсовет индексируются с 1 октября 2022 года с учетом уровня инфляции (потребительских цен).</w:t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(обнародования), но не ранее1 января 2022 года.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«Аксаковский сельсовет» на 2022 год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2023 и 2024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2022 год и на плановый период 2023 и 2024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4490,5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территорий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8299,9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7896,1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6976,7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2023 и 2024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1056,6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112,1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2022 год и на плановый период 2023 и 2024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6"/>
        <w:gridCol w:w="1134"/>
        <w:gridCol w:w="1225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«Мероприятие в области градорегулирования»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60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09"/>
        <w:gridCol w:w="1275"/>
        <w:gridCol w:w="1276"/>
        <w:gridCol w:w="1131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476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63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44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11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2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№5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«Аксаковский сельсовет» на 2022 год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340" w:hanging="0"/>
        <w:jc w:val="right"/>
        <w:rPr>
          <w:sz w:val="24"/>
          <w:szCs w:val="24"/>
        </w:rPr>
      </w:pPr>
      <w:r>
        <w:rPr>
          <w:sz w:val="28"/>
          <w:szCs w:val="28"/>
        </w:rPr>
        <w:t>и плановый период 2023 и 2024 годов</w:t>
      </w:r>
      <w:r>
        <w:rPr>
          <w:sz w:val="24"/>
          <w:szCs w:val="24"/>
        </w:rPr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339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6"/>
        <w:gridCol w:w="704"/>
        <w:gridCol w:w="559"/>
        <w:gridCol w:w="706"/>
        <w:gridCol w:w="986"/>
        <w:gridCol w:w="988"/>
        <w:gridCol w:w="985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83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19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1753,5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1324,4</w:t>
            </w:r>
          </w:p>
        </w:tc>
      </w:tr>
      <w:tr>
        <w:trPr>
          <w:trHeight w:val="7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82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116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2538,1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3193,4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151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2477,4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1708,2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6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152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1585,1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1592,4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8299,9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«Аксаковский сельсовет» на 2022 год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right"/>
        <w:rPr/>
      </w:pPr>
      <w:r>
        <w:rPr>
          <w:sz w:val="28"/>
          <w:szCs w:val="28"/>
        </w:rPr>
        <w:t>и плановый период 2023 и 2024 годов</w:t>
      </w:r>
      <w:r>
        <w:rPr>
          <w:sz w:val="24"/>
          <w:szCs w:val="24"/>
        </w:rPr>
        <w:t xml:space="preserve">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5"/>
        <w:gridCol w:w="8080"/>
        <w:gridCol w:w="1136"/>
        <w:gridCol w:w="1274"/>
        <w:gridCol w:w="1135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2023 и 2024 годов»</w:t>
      </w:r>
    </w:p>
    <w:p>
      <w:pPr>
        <w:pStyle w:val="Normal"/>
        <w:jc w:val="right"/>
        <w:rPr>
          <w:bCs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5"/>
        <w:gridCol w:w="1952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449,3</w:t>
            </w:r>
            <w:bookmarkStart w:id="0" w:name="_GoBack"/>
            <w:bookmarkEnd w:id="0"/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1580,5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left="0" w:firstLine="10080"/>
        <w:jc w:val="right"/>
        <w:outlineLvl w:val="0"/>
        <w:rPr>
          <w:sz w:val="28"/>
          <w:szCs w:val="28"/>
        </w:rPr>
      </w:pPr>
      <w:r>
        <w:rPr>
          <w:rFonts w:cs="Arial"/>
          <w:bCs/>
          <w:kern w:val="2"/>
          <w:sz w:val="28"/>
          <w:szCs w:val="28"/>
        </w:rPr>
        <w:t>Приложение № 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на 2022 год и на плановый период 2023 и 2024 годов»</w:t>
      </w:r>
    </w:p>
    <w:p>
      <w:pPr>
        <w:pStyle w:val="Normal"/>
        <w:ind w:firstLine="8505"/>
        <w:jc w:val="right"/>
        <w:rPr>
          <w:sz w:val="4"/>
          <w:szCs w:val="24"/>
          <w:vertAlign w:val="subscript"/>
        </w:rPr>
      </w:pPr>
      <w:r>
        <w:rPr>
          <w:sz w:val="4"/>
          <w:szCs w:val="24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 на 2022 год и на плановый период 2023 и 2024 годов</w:t>
      </w:r>
    </w:p>
    <w:p>
      <w:pPr>
        <w:pStyle w:val="Normal"/>
        <w:jc w:val="both"/>
        <w:rPr>
          <w:sz w:val="2"/>
          <w:szCs w:val="28"/>
          <w:vertAlign w:val="subscript"/>
        </w:rPr>
      </w:pPr>
      <w:r>
        <w:rPr>
          <w:sz w:val="2"/>
          <w:szCs w:val="28"/>
          <w:vertAlign w:val="subscript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(тыс. рублей)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1431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0"/>
        <w:gridCol w:w="1847"/>
        <w:gridCol w:w="2000"/>
        <w:gridCol w:w="1845"/>
        <w:gridCol w:w="2000"/>
        <w:gridCol w:w="1854"/>
        <w:gridCol w:w="2000"/>
      </w:tblGrid>
      <w:tr>
        <w:trPr>
          <w:tblHeader w:val="true"/>
          <w:trHeight w:val="15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855" w:hRule="atLeas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1327" w:hRule="exac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ind w:left="34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Бюджетные кредиты, предоставленные за счет средств федерального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Бюджетные кредиты, предоставленные за счет средств областного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outlineLvl w:val="0"/>
        <w:rPr>
          <w:color w:val="FF000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1A6B-87C4-48F9-9743-7CB4AD9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42</Pages>
  <Words>8122</Words>
  <Characters>53386</Characters>
  <CharactersWithSpaces>59339</CharactersWithSpaces>
  <Paragraphs>3001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2021-12-17T10:55:00Z</dcterms:created>
  <dc:creator>1</dc:creator>
  <dc:description/>
  <dc:language>ru-RU</dc:language>
  <cp:lastModifiedBy/>
  <cp:lastPrinted>2021-11-19T07:12:00Z</cp:lastPrinted>
  <dcterms:modified xsi:type="dcterms:W3CDTF">2021-12-27T11:38:06Z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