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АКСАКОВСКИЙ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БУГУРУСЛАНСКОГО РАЙОНА 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Style25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995" cy="635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pt,7.15pt" to="490.65pt,7.15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>30 марта 2021 год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с. Аксаково                                       №  </w:t>
      </w:r>
      <w:r>
        <w:rPr>
          <w:sz w:val="28"/>
          <w:szCs w:val="28"/>
        </w:rPr>
        <w:t>31</w:t>
      </w:r>
    </w:p>
    <w:p>
      <w:pPr>
        <w:pStyle w:val="Style25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внесении изменений в решение Совета депутатов 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2021 год и плановый период 2022 и 2023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№20 от 28.12.2020г. «О бюджете муниципального образования Аксаковский сельсовет на 2021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 и 2023 годов» следующие дополнения и изменения: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2021г.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«общий объем доходов  в сумме </w:t>
      </w:r>
      <w:r>
        <w:rPr>
          <w:sz w:val="28"/>
          <w:szCs w:val="28"/>
        </w:rPr>
        <w:t xml:space="preserve">7296,3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«общий объем доходов в сумме 8088,1  тыс. рублей»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 сочетание «общий объем расходов в сумме 7296,3 тыс. рублей  заменить на сочетание «общий объем расходов в сумме 9121,9 тыс. рублей».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поселения на 2021г. в сумме 1033,8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Приложение 2 «Распределение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классификации расходов» изложить в новой редакции.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3 «Ведомственная структура расходов бюджета муниципального образования Аксаковский сельсовет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 Приложение 4 «Распределение бюджетных ассигнований бюджета муниципального образования Аксаковский сельсовет на 2021 год и на плановый период 2022 и 2023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 Приложение № 5 Источники финансирования дефицита бюджета муниципального образования Аксаковский сельсовет Бугурусланского района Оренбургской области на 2021 год и на плановый период 2022 и 2023 годов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2021 года и подлежит официальному опубликованию (обнародованию).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«Аксаковский сельсовет» на 2021 год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2022 и 2023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от   30.03.2021 года №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31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2021 год и на плановый период 2022 и 2023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15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6"/>
        <w:gridCol w:w="8157"/>
        <w:gridCol w:w="1339"/>
        <w:gridCol w:w="1452"/>
        <w:gridCol w:w="1307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4152,9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4254,7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322,0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103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493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50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27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>
          <w:trHeight w:val="41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170" w:hanging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>
          <w:trHeight w:val="417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77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ind w:left="34" w:right="170" w:hanging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rFonts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572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319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423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510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7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4049,2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2310,8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4049,2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3502,8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2 02 1502 10 0000 150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8088,1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6403,6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right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 xml:space="preserve">от 30.03.2021 года  </w:t>
      </w:r>
      <w:r>
        <w:rPr>
          <w:bCs/>
          <w:color w:val="000000"/>
          <w:sz w:val="24"/>
          <w:szCs w:val="24"/>
        </w:rPr>
        <w:t>№ 31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10"/>
        <w:gridCol w:w="567"/>
        <w:gridCol w:w="1560"/>
        <w:gridCol w:w="709"/>
        <w:gridCol w:w="1275"/>
        <w:gridCol w:w="1276"/>
        <w:gridCol w:w="1131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1744,4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61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84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6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1434,7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73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 xml:space="preserve">от 30.03.2021 года </w:t>
      </w:r>
      <w:r>
        <w:rPr>
          <w:bCs/>
          <w:color w:val="000000"/>
          <w:sz w:val="24"/>
          <w:szCs w:val="24"/>
        </w:rPr>
        <w:t>№ 31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2021 год и на плановый период 2022 и 2023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60"/>
        <w:gridCol w:w="709"/>
        <w:gridCol w:w="1276"/>
        <w:gridCol w:w="1134"/>
        <w:gridCol w:w="1225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9121,9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6451,8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6538,9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41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5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62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2021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 xml:space="preserve">                       </w:t>
      </w:r>
      <w:r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30.03.2021</w:t>
      </w:r>
      <w:r>
        <w:rPr>
          <w:bCs/>
          <w:color w:val="000000"/>
          <w:sz w:val="24"/>
          <w:szCs w:val="24"/>
        </w:rPr>
        <w:t xml:space="preserve"> года № </w:t>
      </w:r>
      <w:r>
        <w:rPr>
          <w:bCs/>
          <w:color w:val="000000"/>
          <w:sz w:val="24"/>
          <w:szCs w:val="24"/>
        </w:rPr>
        <w:t>31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2021 году и плановый период 2022 и 2023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02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38"/>
        <w:gridCol w:w="1560"/>
        <w:gridCol w:w="568"/>
        <w:gridCol w:w="567"/>
        <w:gridCol w:w="707"/>
        <w:gridCol w:w="1136"/>
        <w:gridCol w:w="1275"/>
        <w:gridCol w:w="1274"/>
      </w:tblGrid>
      <w:tr>
        <w:trPr>
          <w:trHeight w:val="87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272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28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1625,1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925,7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691,0</w:t>
            </w:r>
          </w:p>
        </w:tc>
      </w:tr>
      <w:tr>
        <w:trPr>
          <w:trHeight w:val="7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74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82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2250,7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6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68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3935,6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2948,8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2899,4</w:t>
            </w:r>
          </w:p>
        </w:tc>
      </w:tr>
      <w:tr>
        <w:trPr>
          <w:trHeight w:val="545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151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2297,9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1313,1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1259,6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61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1637,7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1635,7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1639,8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2021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 </w:t>
      </w:r>
    </w:p>
    <w:p>
      <w:pPr>
        <w:pStyle w:val="Normal"/>
        <w:jc w:val="right"/>
        <w:rPr>
          <w:bCs/>
          <w:kern w:val="2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 </w:t>
      </w:r>
      <w:r>
        <w:rPr>
          <w:bCs/>
          <w:color w:val="000000"/>
          <w:sz w:val="24"/>
          <w:szCs w:val="24"/>
        </w:rPr>
        <w:t xml:space="preserve">30.03.2021 </w:t>
      </w:r>
      <w:r>
        <w:rPr>
          <w:bCs/>
          <w:color w:val="000000"/>
          <w:sz w:val="24"/>
          <w:szCs w:val="24"/>
        </w:rPr>
        <w:t xml:space="preserve">года № </w:t>
      </w:r>
      <w:r>
        <w:rPr>
          <w:bCs/>
          <w:color w:val="000000"/>
          <w:sz w:val="24"/>
          <w:szCs w:val="24"/>
        </w:rPr>
        <w:t>31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2021 год и на плановый период 2022 и 2023 годов</w:t>
      </w:r>
    </w:p>
    <w:p>
      <w:pPr>
        <w:pStyle w:val="Normal"/>
        <w:jc w:val="righ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5"/>
        <w:gridCol w:w="8080"/>
        <w:gridCol w:w="1136"/>
        <w:gridCol w:w="1274"/>
        <w:gridCol w:w="1135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-8088,1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-6403,6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-6565,5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-8088,1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-6403,6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-6565,5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-8088,1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-6403,6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-6565,5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-8088,1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-6403,6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-6565,5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6565,5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6565,5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6565,5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6565,5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1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ACDD-A114-4911-AD38-4EE34880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LibreOffice/7.0.1.2$Windows_X86_64 LibreOffice_project/7cbcfc562f6eb6708b5ff7d7397325de9e764452</Application>
  <Pages>30</Pages>
  <Words>6452</Words>
  <Characters>41169</Characters>
  <CharactersWithSpaces>45382</CharactersWithSpaces>
  <Paragraphs>2684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2021-03-24T06:59:00Z</dcterms:created>
  <dc:creator>1</dc:creator>
  <dc:description/>
  <dc:language>ru-RU</dc:language>
  <cp:lastModifiedBy/>
  <cp:lastPrinted>2021-03-30T10:35:08Z</cp:lastPrinted>
  <dcterms:modified xsi:type="dcterms:W3CDTF">2021-03-30T10:37:36Z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