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7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Calibri" w:cs="Times New Roman" w:eastAsiaTheme="minorHAnsi"/>
          <w:b/>
          <w:color w:val="auto"/>
          <w:kern w:val="0"/>
          <w:sz w:val="28"/>
          <w:szCs w:val="28"/>
          <w:lang w:val="ru-RU" w:eastAsia="zh-CN" w:bidi="ar-SA"/>
        </w:rPr>
        <w:t xml:space="preserve">ПРОЕКТ </w:t>
      </w:r>
    </w:p>
    <w:p>
      <w:pPr>
        <w:pStyle w:val="Normal"/>
        <w:jc w:val="both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с. Аксаково                                        № </w:t>
      </w:r>
    </w:p>
    <w:p>
      <w:pPr>
        <w:pStyle w:val="Style2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</w:r>
    </w:p>
    <w:p>
      <w:pPr>
        <w:pStyle w:val="NormalWeb"/>
        <w:spacing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 w:eastAsia="zh-CN"/>
        </w:rPr>
      </w:pPr>
      <w:r>
        <w:rPr>
          <w:rFonts w:cs="Times New Roman"/>
          <w:b/>
          <w:bCs/>
          <w:color w:val="000000"/>
          <w:sz w:val="28"/>
          <w:szCs w:val="28"/>
          <w:lang w:val="ru-RU" w:eastAsia="zh-CN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>
      <w:pPr>
        <w:pStyle w:val="Style27"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</w:t>
      </w:r>
    </w:p>
    <w:p>
      <w:pPr>
        <w:pStyle w:val="Normal"/>
        <w:tabs>
          <w:tab w:val="clear" w:pos="708"/>
          <w:tab w:val="left" w:pos="284" w:leader="none"/>
        </w:tabs>
        <w:ind w:left="0" w:right="-1" w:firstLine="567"/>
        <w:jc w:val="both"/>
        <w:rPr/>
      </w:pPr>
      <w:r>
        <w:rPr>
          <w:rFonts w:cs="Times New Roman"/>
          <w:sz w:val="28"/>
          <w:szCs w:val="28"/>
          <w:lang w:val="ru-RU" w:eastAsia="zh-CN"/>
        </w:rPr>
        <w:t xml:space="preserve">Руководствуясь </w:t>
      </w:r>
      <w:r>
        <w:rPr>
          <w:rStyle w:val="Style17"/>
          <w:rFonts w:cs="Times New Roman"/>
          <w:i w:val="false"/>
          <w:iCs w:val="false"/>
          <w:sz w:val="28"/>
          <w:szCs w:val="28"/>
          <w:shd w:fill="FFFFFF" w:val="clear"/>
          <w:lang w:val="ru-RU" w:eastAsia="zh-CN"/>
        </w:rPr>
        <w:t>Постановлением</w:t>
      </w:r>
      <w:r>
        <w:rPr>
          <w:rFonts w:cs="Times New Roman"/>
          <w:sz w:val="28"/>
          <w:szCs w:val="28"/>
          <w:shd w:fill="FFFFFF" w:val="clear"/>
          <w:lang w:val="ru-RU" w:eastAsia="zh-CN"/>
        </w:rPr>
        <w:t> </w:t>
      </w:r>
      <w:r>
        <w:rPr>
          <w:rStyle w:val="Style17"/>
          <w:rFonts w:cs="Times New Roman"/>
          <w:i w:val="false"/>
          <w:iCs w:val="false"/>
          <w:sz w:val="28"/>
          <w:szCs w:val="28"/>
          <w:shd w:fill="FFFFFF" w:val="clear"/>
          <w:lang w:val="ru-RU" w:eastAsia="zh-CN"/>
        </w:rPr>
        <w:t>Правительства</w:t>
      </w:r>
      <w:r>
        <w:rPr>
          <w:rFonts w:cs="Times New Roman"/>
          <w:sz w:val="28"/>
          <w:szCs w:val="28"/>
          <w:shd w:fill="FFFFFF" w:val="clear"/>
          <w:lang w:val="ru-RU" w:eastAsia="zh-CN"/>
        </w:rPr>
        <w:t> РФ от 25 июня 2021 г. N </w:t>
      </w:r>
      <w:r>
        <w:rPr>
          <w:rStyle w:val="Style17"/>
          <w:rFonts w:cs="Times New Roman"/>
          <w:i w:val="false"/>
          <w:iCs w:val="false"/>
          <w:sz w:val="28"/>
          <w:szCs w:val="28"/>
          <w:shd w:fill="FFFFFF" w:val="clear"/>
          <w:lang w:val="ru-RU" w:eastAsia="zh-CN"/>
        </w:rPr>
        <w:t>990</w:t>
      </w:r>
      <w:r>
        <w:rPr>
          <w:rFonts w:cs="Times New Roman"/>
          <w:sz w:val="28"/>
          <w:szCs w:val="28"/>
          <w:shd w:fill="FFFFFF" w:val="clear"/>
          <w:lang w:val="ru-RU" w:eastAsia="zh-CN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>
      <w:pPr>
        <w:pStyle w:val="Normal"/>
        <w:tabs>
          <w:tab w:val="clear" w:pos="708"/>
          <w:tab w:val="left" w:pos="284" w:leader="none"/>
        </w:tabs>
        <w:ind w:left="0" w:right="-1" w:firstLine="567"/>
        <w:jc w:val="center"/>
        <w:rPr/>
      </w:pPr>
      <w:r>
        <w:rPr>
          <w:rFonts w:cs="Times New Roman"/>
          <w:sz w:val="28"/>
          <w:szCs w:val="28"/>
          <w:shd w:fill="FFFFFF" w:val="clear"/>
          <w:lang w:val="ru-RU" w:eastAsia="zh-CN"/>
        </w:rPr>
        <w:t>п о с т а н о в л я ю:</w:t>
      </w:r>
    </w:p>
    <w:p>
      <w:pPr>
        <w:pStyle w:val="NormalWeb"/>
        <w:spacing w:before="280" w:after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ru-RU" w:eastAsia="zh-CN"/>
        </w:rPr>
      </w:pPr>
      <w:r>
        <w:rPr>
          <w:rFonts w:cs="Times New Roman"/>
          <w:color w:val="000000"/>
          <w:sz w:val="28"/>
          <w:szCs w:val="28"/>
          <w:shd w:fill="FFFFFF" w:val="clear"/>
          <w:lang w:val="ru-RU" w:eastAsia="zh-CN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>
      <w:pPr>
        <w:pStyle w:val="Normal"/>
        <w:ind w:left="0" w:right="0" w:firstLine="567"/>
        <w:jc w:val="both"/>
        <w:rPr>
          <w:lang w:val="ru-RU" w:eastAsia="zh-CN"/>
        </w:rPr>
      </w:pPr>
      <w:r>
        <w:rPr>
          <w:rFonts w:cs="Times New Roman"/>
          <w:sz w:val="28"/>
          <w:szCs w:val="28"/>
          <w:lang w:val="ru-RU" w:eastAsia="zh-CN"/>
        </w:rPr>
        <w:t>2.</w:t>
      </w:r>
      <w:r>
        <w:rPr>
          <w:rFonts w:cs="Times New Roman"/>
          <w:color w:val="FF0000"/>
          <w:sz w:val="28"/>
          <w:szCs w:val="28"/>
          <w:lang w:val="ru-RU" w:eastAsia="zh-CN"/>
        </w:rPr>
        <w:t xml:space="preserve"> </w:t>
      </w:r>
      <w:r>
        <w:rPr>
          <w:rFonts w:cs="Times New Roman"/>
          <w:color w:val="000000"/>
          <w:sz w:val="28"/>
          <w:szCs w:val="28"/>
          <w:lang w:val="ru-RU" w:eastAsia="zh-CN"/>
        </w:rPr>
        <w:t>Обнародовать настоя</w:t>
      </w:r>
      <w:r>
        <w:rPr>
          <w:rFonts w:cs="Times New Roman"/>
          <w:sz w:val="28"/>
          <w:szCs w:val="28"/>
          <w:lang w:val="ru-RU" w:eastAsia="zh-CN"/>
        </w:rPr>
        <w:t>щее постановление на информационных стендах и разместить на официальном сайте администрации Аксаковского сельсовета Бугурусланского района Оренбургской области в сети Интернет.</w:t>
      </w:r>
    </w:p>
    <w:p>
      <w:pPr>
        <w:pStyle w:val="Normal"/>
        <w:numPr>
          <w:ilvl w:val="0"/>
          <w:numId w:val="0"/>
        </w:numPr>
        <w:spacing w:before="109" w:after="0"/>
        <w:ind w:left="720" w:right="0" w:hanging="0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cs="Times New Roman"/>
          <w:sz w:val="28"/>
          <w:szCs w:val="28"/>
          <w:lang w:val="ru-RU" w:eastAsia="zh-CN"/>
        </w:rPr>
        <w:t xml:space="preserve">       </w:t>
      </w:r>
      <w:r>
        <w:rPr>
          <w:rFonts w:cs="Times New Roman"/>
          <w:sz w:val="28"/>
          <w:szCs w:val="28"/>
          <w:lang w:val="ru-RU" w:eastAsia="zh-CN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spacing w:before="109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cs="Times New Roman"/>
          <w:sz w:val="28"/>
          <w:szCs w:val="28"/>
          <w:lang w:val="ru-RU" w:eastAsia="zh-CN"/>
        </w:rPr>
      </w:r>
    </w:p>
    <w:p>
      <w:pPr>
        <w:pStyle w:val="Normal"/>
        <w:spacing w:before="109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cs="Times New Roman"/>
          <w:sz w:val="28"/>
          <w:szCs w:val="28"/>
          <w:lang w:val="ru-RU" w:eastAsia="zh-CN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85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109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cs="Times New Roman"/>
          <w:sz w:val="28"/>
          <w:szCs w:val="28"/>
          <w:lang w:val="ru-RU" w:eastAsia="zh-CN"/>
        </w:rPr>
        <w:t xml:space="preserve">муниципального образования                                                     </w:t>
      </w:r>
    </w:p>
    <w:tbl>
      <w:tblPr>
        <w:tblW w:w="15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300"/>
      </w:tblGrid>
      <w:tr>
        <w:trPr>
          <w:trHeight w:val="1020" w:hRule="atLeast"/>
        </w:trPr>
        <w:tc>
          <w:tcPr>
            <w:tcW w:w="15300" w:type="dxa"/>
            <w:tcBorders/>
          </w:tcPr>
          <w:p>
            <w:pPr>
              <w:pStyle w:val="NormalWeb"/>
              <w:widowControl w:val="false"/>
              <w:spacing w:before="0" w:after="0"/>
              <w:ind w:left="0" w:right="0" w:firstLine="709"/>
              <w:jc w:val="righ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Приложение</w:t>
            </w:r>
          </w:p>
          <w:p>
            <w:pPr>
              <w:pStyle w:val="NormalWeb"/>
              <w:widowControl w:val="false"/>
              <w:spacing w:before="0" w:after="0"/>
              <w:ind w:left="0" w:righ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к постановлению</w:t>
            </w:r>
          </w:p>
          <w:p>
            <w:pPr>
              <w:pStyle w:val="NormalWeb"/>
              <w:widowControl w:val="false"/>
              <w:spacing w:before="0" w:after="0"/>
              <w:ind w:left="0" w:right="0" w:firstLine="709"/>
              <w:jc w:val="right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rFonts w:cs="Arial"/>
                <w:bCs/>
                <w:color w:val="000000"/>
                <w:sz w:val="28"/>
                <w:szCs w:val="28"/>
                <w:lang w:val="en-US"/>
              </w:rPr>
              <w:t xml:space="preserve">_______________ </w:t>
            </w:r>
            <w:r>
              <w:rPr>
                <w:rFonts w:cs="Arial"/>
                <w:bCs/>
                <w:color w:val="000000"/>
                <w:sz w:val="28"/>
                <w:szCs w:val="28"/>
                <w:lang w:val="ru-RU"/>
              </w:rPr>
              <w:t>№___</w:t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28"/>
        </w:rPr>
      </w:pPr>
      <w:r>
        <w:rPr>
          <w:sz w:val="28"/>
        </w:rPr>
      </w:r>
    </w:p>
    <w:p>
      <w:pPr>
        <w:pStyle w:val="NormalWeb"/>
        <w:spacing w:before="0" w:after="0"/>
        <w:jc w:val="center"/>
        <w:rPr>
          <w:rFonts w:ascii="Times New Roman" w:hAnsi="Times New Roman" w:cs="Arial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Arial"/>
          <w:b/>
          <w:bCs/>
          <w:color w:val="000000"/>
          <w:sz w:val="28"/>
          <w:szCs w:val="28"/>
          <w:shd w:fill="FFFFFF" w:val="clear"/>
        </w:rPr>
        <w:t>ПРОГРАММА</w:t>
      </w:r>
    </w:p>
    <w:p>
      <w:pPr>
        <w:pStyle w:val="NormalWeb"/>
        <w:spacing w:before="0" w:after="0"/>
        <w:jc w:val="center"/>
        <w:rPr>
          <w:rFonts w:ascii="Times New Roman" w:hAnsi="Times New Roman" w:cs="Arial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Arial"/>
          <w:b/>
          <w:bCs/>
          <w:color w:val="000000"/>
          <w:sz w:val="28"/>
          <w:szCs w:val="28"/>
          <w:shd w:fill="FFFFFF" w:val="clear"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>
      <w:pPr>
        <w:pStyle w:val="NormalWeb"/>
        <w:spacing w:before="0" w:after="0"/>
        <w:jc w:val="center"/>
        <w:rPr>
          <w:rFonts w:ascii="Times New Roman" w:hAnsi="Times New Roman" w:cs="Arial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Arial"/>
          <w:b/>
          <w:bCs/>
          <w:color w:val="000000"/>
          <w:sz w:val="28"/>
          <w:szCs w:val="28"/>
          <w:shd w:fill="FFFFFF" w:val="clear"/>
        </w:rPr>
      </w:r>
    </w:p>
    <w:tbl>
      <w:tblPr>
        <w:tblW w:w="15128" w:type="dxa"/>
        <w:jc w:val="left"/>
        <w:tblInd w:w="-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75"/>
        <w:gridCol w:w="2998"/>
        <w:gridCol w:w="1036"/>
        <w:gridCol w:w="1581"/>
        <w:gridCol w:w="917"/>
        <w:gridCol w:w="2726"/>
        <w:gridCol w:w="5395"/>
      </w:tblGrid>
      <w:tr>
        <w:trPr/>
        <w:tc>
          <w:tcPr>
            <w:tcW w:w="151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highlight w:val="white"/>
              </w:rPr>
              <w:t>I. А</w:t>
            </w:r>
            <w:r>
              <w:rPr>
                <w:rFonts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rFonts w:cs="Arial"/>
                <w:sz w:val="24"/>
                <w:szCs w:val="24"/>
              </w:rPr>
              <w:t xml:space="preserve">нализ текущего состояния осуществления </w:t>
            </w: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муниципального контроля в сфере благоустройства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1.1. Программа профилактики </w:t>
            </w: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>
              <w:rPr>
                <w:rFonts w:cs="Arial"/>
                <w:sz w:val="24"/>
                <w:szCs w:val="24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Аксаковского сельсовета и муниципальных нормативных правовых актов, обязательных к применению при благоустройстве территории Аксаковского сельсовета, разработана в целях организации осуществления Администрацией Аксаковского сельсовета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Тюменской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Аксаковского сельсовета и муниципальных нормативных правовых актов, обязательных к применению при благоустройстве территории Аксаковского сельсовета.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1.2. Программа распространяет свое действие на муниципальный контроль за соблюдением Правил благоустройства территории Аксаковского сельсовета и муниципальных нормативных правовых актов, обязательных к применению при благоустройстве территории Аксаковского сельсовета.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1.3. Уполномоченным органом по осуществлению муниципального контроля в сфере благоустройства является Администрация Аксаковского сельсовета.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Правилами благоустройства территории Аксаковского сельсовета, утвержденными решением Совета депутатов МО Аксаковский сельсовет от 13.06.2012  № 45 ( в редакции: от 23.06.2020 № 173)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Аксаковского сельсовета размещены Правила благоустройства 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Аксаковского сельсовета и создание неблагоприятной среды проживания и жизнедеятельности в нем населения.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сельского поселения осуществляется:</w:t>
            </w:r>
          </w:p>
          <w:p>
            <w:pPr>
              <w:pStyle w:val="Sdfootnote1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информирование о необходимости соблюдения Правил благоустройства территории Аксаковского сельсовета, посредством официального сайта Аксаковского сельсовета, публикации в периодических изданиях, социальных сетей;</w:t>
            </w:r>
          </w:p>
          <w:p>
            <w:pPr>
              <w:pStyle w:val="Sdfootnote1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совместная организация и проведение мероприятий по уборке территории Аксаковского сельсовета;</w:t>
            </w:r>
          </w:p>
          <w:p>
            <w:pPr>
              <w:pStyle w:val="Sdfootnote1"/>
              <w:widowControl w:val="false"/>
              <w:spacing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выдача предупреждений.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hd w:val="clear" w:fill="FFFFFF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Причинами нарушений обязательных требований в сфере благоустройства являются:</w:t>
            </w:r>
          </w:p>
          <w:p>
            <w:pPr>
              <w:pStyle w:val="Normal"/>
              <w:widowControl w:val="false"/>
              <w:shd w:val="clear" w:fill="FFFFFF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>
        <w:trPr/>
        <w:tc>
          <w:tcPr>
            <w:tcW w:w="1512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highlight w:val="white"/>
              </w:rPr>
              <w:t>II. Ц</w:t>
            </w:r>
            <w:r>
              <w:rPr>
                <w:rFonts w:cs="Arial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№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Значение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Arial"/>
                <w:i/>
                <w:iCs/>
                <w:sz w:val="24"/>
                <w:szCs w:val="24"/>
                <w:shd w:fill="FFFFFF" w:val="clear"/>
              </w:rPr>
              <w:t>Характеристика значения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  <w:shd w:fill="FFFFFF" w:val="clear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  <w:shd w:fill="FFFFFF" w:val="clear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  <w:shd w:fill="FFFFFF" w:val="clear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2.2.</w:t>
            </w:r>
          </w:p>
        </w:tc>
        <w:tc>
          <w:tcPr>
            <w:tcW w:w="4034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Задачи реализации программы профилактики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61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4"/>
                <w:szCs w:val="24"/>
                <w:shd w:fill="FFFFFF" w:val="clear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1512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ind w:left="0"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highlight w:val="white"/>
              </w:rPr>
              <w:t>III. П</w:t>
            </w:r>
            <w:r>
              <w:rPr>
                <w:rFonts w:cs="Arial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№</w:t>
            </w:r>
          </w:p>
        </w:tc>
        <w:tc>
          <w:tcPr>
            <w:tcW w:w="6532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Наименование мероприятия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Срок (периодичность)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/>
                <w:i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  <w:szCs w:val="24"/>
              </w:rPr>
              <w:t>должностные лица Администрации, ответственные за реализацию профилактического мероприятия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hd w:fill="FFFFFF" w:val="clear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>3.1.</w:t>
            </w:r>
          </w:p>
        </w:tc>
        <w:tc>
          <w:tcPr>
            <w:tcW w:w="6532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/>
                <w:b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fill="FFFFFF" w:val="clear"/>
              </w:rPr>
              <w:t>Информирование</w:t>
            </w:r>
          </w:p>
        </w:tc>
        <w:tc>
          <w:tcPr>
            <w:tcW w:w="272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По мере необходимости</w:t>
            </w:r>
          </w:p>
        </w:tc>
        <w:tc>
          <w:tcPr>
            <w:tcW w:w="5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  <w:shd w:fill="FFFFFF" w:val="clear"/>
              </w:rPr>
              <w:t>Администрация  Аксаковского сельсовета</w:t>
            </w:r>
          </w:p>
        </w:tc>
      </w:tr>
      <w:tr>
        <w:trPr/>
        <w:tc>
          <w:tcPr>
            <w:tcW w:w="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3.2.</w:t>
            </w:r>
          </w:p>
        </w:tc>
        <w:tc>
          <w:tcPr>
            <w:tcW w:w="6532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shd w:fill="FFFFFF" w:val="clear"/>
              </w:rPr>
              <w:t>К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shd w:fill="FFFFFF" w:val="clear"/>
              </w:rPr>
              <w:t>онсультирование</w:t>
            </w:r>
          </w:p>
        </w:tc>
        <w:tc>
          <w:tcPr>
            <w:tcW w:w="2726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По мере необходимости</w:t>
            </w:r>
          </w:p>
        </w:tc>
        <w:tc>
          <w:tcPr>
            <w:tcW w:w="5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Sdfootnote1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iCs/>
                <w:color w:val="000000"/>
                <w:sz w:val="24"/>
                <w:szCs w:val="24"/>
                <w:shd w:fill="FFFFFF" w:val="clear"/>
              </w:rPr>
              <w:t>Администрация Аксаковского сельсовета</w:t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6532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i/>
                <w:i/>
                <w:i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  <w:shd w:fill="FFFFFF" w:val="clear"/>
              </w:rPr>
              <w:t>Способы консультирования</w:t>
            </w:r>
          </w:p>
        </w:tc>
        <w:tc>
          <w:tcPr>
            <w:tcW w:w="272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99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В устной форме (</w:t>
            </w:r>
            <w:r>
              <w:rPr>
                <w:rFonts w:cs="Arial"/>
                <w:sz w:val="24"/>
                <w:szCs w:val="24"/>
                <w:shd w:fill="FFFFFF" w:val="clear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72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6532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Arial"/>
                <w:i/>
                <w:iCs/>
                <w:sz w:val="24"/>
                <w:szCs w:val="24"/>
                <w:shd w:fill="FFFFFF" w:val="clear"/>
              </w:rPr>
              <w:t>Вопросы, по которым осуществляется консультирование</w:t>
            </w:r>
          </w:p>
        </w:tc>
        <w:tc>
          <w:tcPr>
            <w:tcW w:w="272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75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6532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6. Иные вопросы, касающиеся муниципального контроля.</w:t>
            </w:r>
          </w:p>
        </w:tc>
        <w:tc>
          <w:tcPr>
            <w:tcW w:w="2726" w:type="dxa"/>
            <w:vMerge w:val="continue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12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ind w:left="0" w:righ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highlight w:val="white"/>
              </w:rPr>
              <w:t>IV. П</w:t>
            </w:r>
            <w:r>
              <w:rPr>
                <w:rFonts w:cs="Arial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i/>
                <w:i/>
                <w:i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  <w:shd w:fill="FFFFFF" w:val="clear"/>
              </w:rPr>
              <w:t>Значение</w:t>
            </w:r>
          </w:p>
        </w:tc>
        <w:tc>
          <w:tcPr>
            <w:tcW w:w="90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Sdfootnote1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 w:cs="Arial"/>
                <w:i/>
                <w:i/>
                <w:iCs/>
                <w:sz w:val="24"/>
                <w:szCs w:val="24"/>
                <w:shd w:fill="FFFFFF" w:val="clear"/>
              </w:rPr>
            </w:pPr>
            <w:r>
              <w:rPr>
                <w:rFonts w:cs="Arial"/>
                <w:i/>
                <w:iCs/>
                <w:sz w:val="24"/>
                <w:szCs w:val="24"/>
                <w:shd w:fill="FFFFFF" w:val="clear"/>
              </w:rPr>
              <w:t>Характеристика значения</w:t>
            </w:r>
          </w:p>
        </w:tc>
      </w:tr>
      <w:tr>
        <w:trPr/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1. Общее количество проведенных профилактических мероприятий.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fill="FFFFFF" w:val="clear"/>
              </w:rPr>
              <w:t xml:space="preserve">3. Соблюдение порядка и сроков консультирования </w:t>
            </w: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Arial"/>
                <w:color w:val="000000"/>
                <w:sz w:val="24"/>
                <w:szCs w:val="24"/>
                <w:shd w:fill="FFFFFF" w:val="clear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>
      <w:pPr>
        <w:pStyle w:val="Normal"/>
        <w:spacing w:before="0" w:after="0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e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b3a0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970f1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970f1f"/>
    <w:pPr>
      <w:keepNext w:val="true"/>
      <w:jc w:val="center"/>
      <w:outlineLvl w:val="3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fb4ef5"/>
    <w:rPr>
      <w:rFonts w:ascii="Times New Roman" w:hAnsi="Times New Roman" w:eastAsia="Times New Roman" w:cs="Times New Roman"/>
      <w:b/>
      <w:bCs/>
      <w:kern w:val="2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708f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70f1f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970f1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b3a0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8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ec632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character" w:styleId="Style17">
    <w:name w:val="Выделение"/>
    <w:basedOn w:val="Style16"/>
    <w:qFormat/>
    <w:rPr>
      <w:i/>
      <w:iCs/>
    </w:rPr>
  </w:style>
  <w:style w:type="character" w:styleId="WW8Num2z0">
    <w:name w:val="WW8Num2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link w:val="a4"/>
    <w:qFormat/>
    <w:rsid w:val="00fb4ef5"/>
    <w:pPr>
      <w:keepLines/>
      <w:widowControl w:val="false"/>
      <w:jc w:val="center"/>
    </w:pPr>
    <w:rPr>
      <w:b/>
      <w:bCs/>
      <w:kern w:val="2"/>
      <w:sz w:val="28"/>
      <w:szCs w:val="28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708f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e5fd0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 w:customStyle="1">
    <w:name w:val="ConsTitle"/>
    <w:qFormat/>
    <w:rsid w:val="00663565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970f1f"/>
    <w:pPr>
      <w:spacing w:before="100" w:after="100"/>
    </w:pPr>
    <w:rPr>
      <w:rFonts w:ascii="Arial Unicode MS" w:hAnsi="Arial Unicode MS" w:eastAsia="Arial Unicode MS"/>
      <w:sz w:val="24"/>
    </w:rPr>
  </w:style>
  <w:style w:type="paragraph" w:styleId="NoSpacing">
    <w:name w:val="No Spacing"/>
    <w:uiPriority w:val="1"/>
    <w:qFormat/>
    <w:rsid w:val="001067d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b"/>
    <w:uiPriority w:val="99"/>
    <w:unhideWhenUsed/>
    <w:rsid w:val="00ec6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5099f"/>
    <w:pPr>
      <w:spacing w:before="0" w:after="0"/>
      <w:ind w:left="720" w:hanging="0"/>
      <w:contextualSpacing/>
    </w:pPr>
    <w:rPr/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Sdfootnote1">
    <w:name w:val="sdfootnote1"/>
    <w:basedOn w:val="Normal"/>
    <w:qFormat/>
    <w:pPr>
      <w:spacing w:before="280" w:after="0"/>
      <w:ind w:left="340" w:right="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30A-5C75-491D-A70A-1D3CECA2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6</Pages>
  <Words>1127</Words>
  <Characters>8998</Characters>
  <CharactersWithSpaces>10211</CharactersWithSpaces>
  <Paragraphs>99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2021-10-14T05:45:00Z</dcterms:created>
  <dc:creator>1</dc:creator>
  <dc:description/>
  <dc:language>ru-RU</dc:language>
  <cp:lastModifiedBy/>
  <cp:lastPrinted>2021-06-25T06:13:00Z</cp:lastPrinted>
  <dcterms:modified xsi:type="dcterms:W3CDTF">2022-01-05T11:13:58Z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