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АКСАКОВСКОГО СЕЛЬСОВЕТА                               БУГУРУСЛАНСКОГО РАЙОНА ОРЕНБУРГСКОЙ ОБЛАСТИ</w:t>
      </w:r>
    </w:p>
    <w:p>
      <w:pPr>
        <w:pStyle w:val="Style2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rPr>
          <w:sz w:val="16"/>
          <w:szCs w:val="28"/>
        </w:rPr>
      </w:pPr>
      <w:r>
        <w:rPr>
          <w:sz w:val="16"/>
          <w:szCs w:val="28"/>
        </w:rPr>
      </w:r>
    </w:p>
    <w:p>
      <w:pPr>
        <w:pStyle w:val="Style2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28.02.2022      </w:t>
        <w:tab/>
        <w:t xml:space="preserve">                        с. Аксаково                                         № 14- п</w:t>
      </w:r>
    </w:p>
    <w:p>
      <w:pPr>
        <w:pStyle w:val="2"/>
        <w:tabs>
          <w:tab w:val="clear" w:pos="709"/>
          <w:tab w:val="left" w:pos="1440" w:leader="none"/>
          <w:tab w:val="left" w:pos="1620" w:leader="none"/>
          <w:tab w:val="left" w:pos="2160" w:leader="none"/>
        </w:tabs>
        <w:spacing w:lineRule="auto" w:line="276" w:before="0" w:after="0"/>
        <w:ind w:left="0" w:right="0" w:firstLine="709"/>
        <w:jc w:val="center"/>
        <w:rPr>
          <w:rFonts w:ascii="Times New Roman" w:hAnsi="Times New Roman" w:cs="Times New Roman"/>
          <w:sz w:val="28"/>
          <w:szCs w:val="28"/>
          <w:shd w:fill="FFFFFF" w:val="clear"/>
          <w:lang w:val="ru-RU" w:eastAsia="zh-CN"/>
        </w:rPr>
      </w:pPr>
      <w:r>
        <w:rPr>
          <w:rFonts w:cs="Times New Roman"/>
          <w:sz w:val="28"/>
          <w:szCs w:val="28"/>
          <w:shd w:fill="FFFFFF" w:val="clear"/>
          <w:lang w:val="ru-RU" w:eastAsia="zh-CN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«О</w:t>
      </w:r>
      <w:r>
        <w:rPr>
          <w:rFonts w:eastAsia="Times New Roman" w:cs="Times New Roman"/>
          <w:b/>
          <w:bCs/>
          <w:sz w:val="28"/>
          <w:szCs w:val="28"/>
        </w:rPr>
        <w:t xml:space="preserve"> внесении изменений в постановление от 10.01.2018 года № 02-п «Об утверждении плана мероприятий по оздоровлению муниципальных финансов муниципального образования </w:t>
      </w:r>
    </w:p>
    <w:p>
      <w:pPr>
        <w:pStyle w:val="Normal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sz w:val="28"/>
          <w:szCs w:val="28"/>
        </w:rPr>
        <w:t>«Аксаковский сельсовет» на 2018-2024 годы»</w:t>
      </w:r>
    </w:p>
    <w:p>
      <w:pPr>
        <w:pStyle w:val="Normal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целях бюджетной устойчивости и оздоровления муниципальных финансов муниципального образования «Аксаковский сельсовет» внести </w:t>
      </w:r>
      <w:r>
        <w:rPr>
          <w:rFonts w:cs="Times New Roman" w:ascii="Times New Roman" w:hAnsi="Times New Roman"/>
          <w:color w:val="000000"/>
          <w:sz w:val="28"/>
          <w:szCs w:val="28"/>
        </w:rPr>
        <w:t>в постановление администрации Аксаковского сельсовета от 10.01.2018 № 02-п «Об утверждении плана мероприятий по оптимизации бюджетных расходов муниципального образования «Аксаковский сельсовет» Бугурусланского района Оренбургской области»</w:t>
      </w:r>
      <w:r>
        <w:rPr>
          <w:rFonts w:cs="Times New Roman" w:ascii="Times New Roman" w:hAnsi="Times New Roman"/>
          <w:sz w:val="28"/>
          <w:szCs w:val="28"/>
        </w:rPr>
        <w:t xml:space="preserve"> (в редакции: от 28.02.2019 № 08-п, от 28.02.2020 № 10-п, от 26.02.2021 № 06-п» следующие изменения:</w:t>
      </w:r>
    </w:p>
    <w:p>
      <w:pPr>
        <w:pStyle w:val="ConsPlusTitle"/>
        <w:tabs>
          <w:tab w:val="clear" w:pos="709"/>
          <w:tab w:val="left" w:pos="567" w:leader="none"/>
        </w:tabs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</w:t>
      </w:r>
      <w:r>
        <w:rPr>
          <w:rFonts w:cs="Times New Roman" w:ascii="Times New Roman" w:hAnsi="Times New Roman"/>
          <w:b w:val="false"/>
          <w:sz w:val="28"/>
          <w:szCs w:val="28"/>
        </w:rPr>
        <w:t>1. Приложение к постановлению изложить в новой редакции согласно приложению к настоящему постановлению.</w:t>
      </w:r>
    </w:p>
    <w:p>
      <w:pPr>
        <w:pStyle w:val="Normal"/>
        <w:tabs>
          <w:tab w:val="clear" w:pos="709"/>
          <w:tab w:val="left" w:pos="567" w:leader="none"/>
        </w:tabs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>
      <w:pPr>
        <w:pStyle w:val="Normal"/>
        <w:tabs>
          <w:tab w:val="clear" w:pos="709"/>
          <w:tab w:val="left" w:pos="567" w:leader="none"/>
        </w:tabs>
        <w:jc w:val="both"/>
        <w:rPr/>
      </w:pPr>
      <w:r>
        <w:rPr>
          <w:rFonts w:cs="Times New Roman"/>
          <w:sz w:val="28"/>
          <w:szCs w:val="28"/>
          <w:shd w:fill="FFFFFF" w:val="clear"/>
          <w:lang w:val="ru-RU" w:eastAsia="zh-CN"/>
        </w:rPr>
        <w:t xml:space="preserve">    </w:t>
      </w:r>
      <w:r>
        <w:rPr>
          <w:rFonts w:cs="Times New Roman"/>
          <w:sz w:val="28"/>
          <w:szCs w:val="28"/>
          <w:shd w:fill="FFFFFF" w:val="clear"/>
          <w:lang w:val="ru-RU" w:eastAsia="zh-CN"/>
        </w:rPr>
        <w:t>3. Постановление вступает в силу после его подписания.</w:t>
      </w:r>
    </w:p>
    <w:p>
      <w:pPr>
        <w:pStyle w:val="2"/>
        <w:tabs>
          <w:tab w:val="clear" w:pos="709"/>
          <w:tab w:val="left" w:pos="1440" w:leader="none"/>
          <w:tab w:val="left" w:pos="1620" w:leader="none"/>
          <w:tab w:val="left" w:pos="2160" w:leader="none"/>
        </w:tabs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shd w:fill="FFFFFF" w:val="clear"/>
          <w:lang w:val="ru-RU" w:eastAsia="zh-CN"/>
        </w:rPr>
      </w:pPr>
      <w:r>
        <w:rPr>
          <w:rFonts w:cs="Times New Roman"/>
          <w:sz w:val="28"/>
          <w:szCs w:val="28"/>
          <w:shd w:fill="FFFFFF" w:val="clear"/>
          <w:lang w:val="ru-RU" w:eastAsia="zh-CN"/>
        </w:rPr>
      </w:r>
    </w:p>
    <w:p>
      <w:pPr>
        <w:pStyle w:val="2"/>
        <w:tabs>
          <w:tab w:val="clear" w:pos="709"/>
          <w:tab w:val="left" w:pos="1440" w:leader="none"/>
          <w:tab w:val="left" w:pos="1620" w:leader="none"/>
          <w:tab w:val="left" w:pos="2160" w:leader="none"/>
        </w:tabs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shd w:fill="FFFFFF" w:val="clear"/>
          <w:lang w:val="ru-RU" w:eastAsia="zh-CN"/>
        </w:rPr>
      </w:pPr>
      <w:r>
        <w:rPr>
          <w:rFonts w:cs="Times New Roman"/>
          <w:sz w:val="28"/>
          <w:szCs w:val="28"/>
          <w:shd w:fill="FFFFFF" w:val="clear"/>
          <w:lang w:val="ru-RU" w:eastAsia="zh-CN"/>
        </w:rPr>
      </w:r>
    </w:p>
    <w:p>
      <w:pPr>
        <w:sectPr>
          <w:type w:val="nextPage"/>
          <w:pgSz w:w="11906" w:h="16838"/>
          <w:pgMar w:left="1701" w:right="850" w:header="0" w:top="85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2"/>
        <w:tabs>
          <w:tab w:val="clear" w:pos="709"/>
          <w:tab w:val="left" w:pos="1440" w:leader="none"/>
          <w:tab w:val="left" w:pos="1620" w:leader="none"/>
          <w:tab w:val="left" w:pos="2160" w:leader="none"/>
        </w:tabs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shd w:fill="FFFFFF" w:val="clear"/>
          <w:lang w:val="ru-RU" w:eastAsia="zh-CN"/>
        </w:rPr>
      </w:pPr>
      <w:r>
        <w:rPr>
          <w:rFonts w:cs="Times New Roman"/>
          <w:sz w:val="28"/>
          <w:szCs w:val="28"/>
          <w:shd w:fill="FFFFFF" w:val="clear"/>
          <w:lang w:val="ru-RU" w:eastAsia="zh-CN"/>
        </w:rPr>
        <w:t>Глава администрации                                                                     И.Н. Конаков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>
      <w:pPr>
        <w:pStyle w:val="NoSpacing"/>
        <w:spacing w:before="0" w:after="0"/>
        <w:ind w:left="5664"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Spacing"/>
        <w:spacing w:before="0" w:after="0"/>
        <w:ind w:left="5664"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Аксаковского сельсовета</w:t>
      </w:r>
    </w:p>
    <w:p>
      <w:pPr>
        <w:pStyle w:val="NoSpacing"/>
        <w:spacing w:before="0" w:after="0"/>
        <w:ind w:left="6372" w:hanging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28.02.2022 № 14-п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План 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мероприятий по оздоровлению муниципальных финансов</w:t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муниципального образования «Аксаковский сельсовет» на 2018-2024 годы</w:t>
      </w:r>
    </w:p>
    <w:p>
      <w:pPr>
        <w:pStyle w:val="Normal"/>
        <w:tabs>
          <w:tab w:val="clear" w:pos="709"/>
          <w:tab w:val="left" w:pos="433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465" w:type="dxa"/>
        <w:jc w:val="left"/>
        <w:tblInd w:w="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"/>
        <w:gridCol w:w="2977"/>
        <w:gridCol w:w="1418"/>
        <w:gridCol w:w="1276"/>
        <w:gridCol w:w="2125"/>
        <w:gridCol w:w="991"/>
        <w:gridCol w:w="851"/>
        <w:gridCol w:w="993"/>
        <w:gridCol w:w="991"/>
        <w:gridCol w:w="993"/>
        <w:gridCol w:w="993"/>
        <w:gridCol w:w="991"/>
        <w:gridCol w:w="15"/>
      </w:tblGrid>
      <w:tr>
        <w:trPr>
          <w:trHeight w:val="399" w:hRule="atLeast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ind w:left="-112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Срок реализации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показателя, единица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измерения</w:t>
            </w:r>
          </w:p>
        </w:tc>
        <w:tc>
          <w:tcPr>
            <w:tcW w:w="68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Значение показателя</w:t>
            </w:r>
          </w:p>
        </w:tc>
      </w:tr>
      <w:tr>
        <w:trPr>
          <w:trHeight w:val="687" w:hRule="atLeast"/>
        </w:trPr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6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Меры по увеличению поступлений налоговых и неналоговых доходов</w:t>
            </w:r>
          </w:p>
        </w:tc>
      </w:tr>
      <w:tr>
        <w:trPr>
          <w:trHeight w:val="28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146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Расширение действующей налоговой базы с целью увеличения налогового потенциала </w:t>
            </w:r>
            <w:r>
              <w:rPr>
                <w:b/>
                <w:sz w:val="22"/>
                <w:szCs w:val="22"/>
              </w:rPr>
              <w:t>муниципального образования сельского поселения</w:t>
            </w:r>
          </w:p>
        </w:tc>
      </w:tr>
      <w:tr>
        <w:trPr>
          <w:trHeight w:val="85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Утверждение плана по устранению неэффективных льгот (пониженных ставок по налогам) в муниципальном образовании (внесение изменений в план по устранению неэффективных льгот (пониженных ставок) в муниципальном образовании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1 сентября 2018 года.</w:t>
            </w:r>
          </w:p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Ежегодно в случае, если по результатам оценки эффективности налоговых льгот (пониженных ставок по налогам), предоставленных органами местного самоуправления, выявлены неэффективные налоговые льготы (пониженные ставки по налогам)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план по устранению неэффективных льгот (пониженных ставок по налогам) в муниципальном образовании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5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Проведение оценки эффективности налоговых льгот (пониженных ставок по налогам), предоставляемых органом местного самоуправления по местным налогам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 сельсовета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предшествующий отчетному году налоговый период ежегодно, до 1 августа текущего финансового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аналитическая записка, 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5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Проведение оценки эффективности налоговых льгот (пониженных ставок по налогам), предоставляемых органом местного самоуправления по местным налогам, в соответствии с нормативным правовым актом органа местного самоуправления, утвержденных с учетом общих требований к оценке налоговых расходов субъектов Российской Федерации и муниципальных образований, установленных постановлением Правительства Российской Федерации от 22 июня 2019 года №796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 сельсовета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предшествующий налоговый период ежегодно, до 1 августа текущего финансового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аналитическая записка, 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5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Отмена неэффективных налоговых льгот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Мероприятие реализовано до 1 декабря 2020 года</w:t>
            </w:r>
          </w:p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 поступлений налоговых доходов в бюджет муниципального образования в связи с отменой неэффективных льгот,          тыс. рублей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89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Проведение мероприятий по легализации теневой занятости.</w:t>
            </w:r>
          </w:p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 в заседании межведомственной комиссии по вопросам оплаты труда, снижения неформальной занятости, уплаты налогов и страховых взносов при администрации Бугурусланского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 сельсовета, отдел экономического анализа, прогнозирования и развития предпринимательства администрации Бугурусланского района, ГКУ «Центр занятости населения г. Бугуруслана»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Количество проведенных заседаний, единиц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89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Проведение мероприятий по легализации теневой занятости.</w:t>
            </w:r>
          </w:p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 в заседании межведомственной комиссии по вопросам оплаты труда, снижения неформальной занятости, уплаты налогов и страховых взносов при администрации Бугурусланского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сельсовета, отдел экономического анализа, прогнозирования и развития предпринимательства администрации Бугурусланского района, ГКУ «Центр занятости населения г. Бугуруслана»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выявленных работников, человек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Пересмотр ставок по налогам и сборам,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6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пересмотр ставок по налогу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Мероприятие реализовано до 1 декабря 2016 года</w:t>
            </w:r>
          </w:p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Прирост поступлений в бюджет к фактическим поступлениям 2016 года, тыс. руб.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пересмотр ставок по земельному налогу*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Органы местного самоуправления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Мероприятие реализовано до 1 декабря 2017 года;</w:t>
            </w:r>
          </w:p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Мероприятие реализовано до 1 декабря 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Прирост к сумме начисленного налога в 2016 году. тыс. рублей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146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Мероприятия, направленные на повышение собираемости неналоговых доходов</w:t>
            </w:r>
          </w:p>
        </w:tc>
      </w:tr>
      <w:tr>
        <w:trPr>
          <w:trHeight w:val="85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Инвентаризация имущества (в том числе земельных участков), находящегося в собственности муниципального образования и сдачи в аренду с целью увеличения неналоговых доходов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ежегодно до 1 декабря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ind w:left="57" w:righ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записка, 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5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Мониторинг осуществления муниципального земельного контроля и контроля выполнения условий заключенных договоров аренды        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ежегодно, до 1 апреля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ind w:left="57" w:righ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записка, 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89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Осуществление мероприятий по информированию о порядке исчисления и сроках уплаты земельного налога и налога на имущество физических лиц, поступающих в бюджет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размещение информации на стенде, экземпляров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6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Вовлечение в налоговый оборот объектов недвижимости, включая земельные участки, в том числе: уточнение сведений об объектах недвижимости; актуализация результатов государственной кадастровой оценки объектов недвижимости; предоставление сведений о земельных участках и иных объектах недвижимости в рамках информационного обмена; Выявление собственников земельных участков и другого недвижимого имущества и привлечения их к налогообложению, содействие в оформлении прав собственности на земельные участки и имущество физическими лицами, уточнение характеристик земельных участков в целях уточнения их кадастровой стоимости.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Прирост поступлений в бюджет к фактическим поступлениям 2016 года, 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Усиление межведомственного взаимодействия органа местного самоуправления муниципального образования с территориальным налоговым органом, правоохранительными органами и органами местного самоуправления поселений по выполнению мероприятий, направленных на повышение собираемости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89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Оформление невостребованных земель в собственность сельских поселений в целях увеличения доходов от использования и продажи земельных ресурсов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Прирост поступлений в бюджет муниципального образования к фактическим поступлениям 2016 года, тыс. рублей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1 105,0</w:t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46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Меры по оптимизации расходов-программа оптимизации расходов бюджета муниципального образования сельского поселения</w:t>
            </w:r>
          </w:p>
        </w:tc>
      </w:tr>
      <w:tr>
        <w:trPr>
          <w:trHeight w:val="41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2.1.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6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Меры по оптимизации расходов на управление</w:t>
            </w:r>
          </w:p>
        </w:tc>
      </w:tr>
      <w:tr>
        <w:trPr>
          <w:trHeight w:val="1718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Style w:val="112"/>
                <w:bCs/>
                <w:color w:val="000000"/>
                <w:sz w:val="22"/>
                <w:szCs w:val="22"/>
              </w:rPr>
              <w:t>Установление запрета на увеличение численно</w:t>
              <w:softHyphen/>
              <w:t>сти муниципальных служащих муниципального образования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 годы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Style w:val="112"/>
                <w:bCs/>
                <w:color w:val="000000"/>
                <w:sz w:val="22"/>
                <w:szCs w:val="22"/>
              </w:rPr>
              <w:t>нормативно уста</w:t>
              <w:softHyphen/>
              <w:t>новленный запрет на увеличение чис</w:t>
              <w:softHyphen/>
              <w:t>ленности муниципальных служащих сельского поселения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rStyle w:val="112"/>
                <w:bCs/>
                <w:color w:val="000000"/>
                <w:sz w:val="22"/>
                <w:szCs w:val="22"/>
              </w:rPr>
              <w:t>Установление нормативов расходов на оплату труда депутатов, выборных должностных лиц и муниципальных служащих органов местного самоуправления.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Style w:val="112"/>
                <w:bCs/>
                <w:color w:val="000000"/>
                <w:sz w:val="22"/>
                <w:szCs w:val="22"/>
              </w:rPr>
              <w:t>Ис</w:t>
              <w:softHyphen/>
              <w:t>пользование требований о соблюдении норма</w:t>
              <w:softHyphen/>
              <w:t>тивов в условиях предоставления дополнитель</w:t>
              <w:softHyphen/>
              <w:t>ной финансовой помощи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2018-2024 годы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проведение еже</w:t>
              <w:softHyphen/>
              <w:t>квартального мони</w:t>
              <w:softHyphen/>
              <w:t>торинга соблюдения нормативов расхо</w:t>
              <w:softHyphen/>
              <w:t>дов на оплату труда и внесение предложений по применению бюд</w:t>
              <w:softHyphen/>
              <w:t>жетных мер прину</w:t>
              <w:softHyphen/>
              <w:t>ждения, 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112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Экономия предельных объемов расходов на оплату труда депутатов, выборных должностных лиц и муниципальных служащих органов местного самоуправления, тыс. рублей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200,0</w:t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9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146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Совершенствование системы закупок для муниципальных нужд</w:t>
            </w:r>
          </w:p>
        </w:tc>
      </w:tr>
      <w:tr>
        <w:trPr>
          <w:trHeight w:val="278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Оптимизация расходов на содержание матери</w:t>
              <w:softHyphen/>
              <w:t>ально-технической базы муниципального образования сельского поселения по результатам экономии, сложившейся по итогам проведения за</w:t>
              <w:softHyphen/>
              <w:t>купок для муниципальных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hd w:val="clear" w:color="auto" w:fill="auto"/>
              <w:spacing w:lineRule="exact" w:line="274" w:before="0" w:after="0"/>
              <w:ind w:right="-108" w:hanging="0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Style w:val="112"/>
                <w:b w:val="false"/>
                <w:bCs w:val="false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Style w:val="Style12"/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Объем высвободившихся средств, (тыс. рублей)</w:t>
            </w:r>
          </w:p>
          <w:p>
            <w:pPr>
              <w:pStyle w:val="Style19"/>
              <w:widowControl w:val="false"/>
              <w:shd w:val="clear" w:color="auto" w:fill="auto"/>
              <w:spacing w:lineRule="exact" w:line="269" w:before="0" w:after="0"/>
              <w:jc w:val="both"/>
              <w:rPr>
                <w:rStyle w:val="112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hd w:val="clear" w:color="auto" w:fill="auto"/>
              <w:spacing w:lineRule="exact" w:line="230" w:before="0" w:after="0"/>
              <w:jc w:val="center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Style w:val="112"/>
                <w:b w:val="false"/>
                <w:bCs w:val="false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hd w:val="clear" w:color="auto" w:fill="auto"/>
              <w:spacing w:lineRule="exact" w:line="230" w:before="0" w:after="0"/>
              <w:jc w:val="center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Style w:val="112"/>
                <w:b w:val="false"/>
                <w:bCs w:val="false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hd w:val="clear" w:color="auto" w:fill="auto"/>
              <w:spacing w:lineRule="exact" w:line="230" w:before="0" w:after="0"/>
              <w:rPr>
                <w:rStyle w:val="112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Style19"/>
              <w:widowControl w:val="false"/>
              <w:shd w:val="clear" w:color="auto" w:fill="auto"/>
              <w:spacing w:lineRule="exact" w:line="230" w:before="0" w:after="0"/>
              <w:jc w:val="center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Style w:val="112"/>
                <w:b w:val="false"/>
                <w:bCs w:val="false"/>
                <w:color w:val="000000"/>
                <w:sz w:val="22"/>
                <w:szCs w:val="22"/>
              </w:rPr>
              <w:t>190,2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Style w:val="112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112"/>
                <w:color w:val="000000"/>
                <w:sz w:val="22"/>
                <w:szCs w:val="22"/>
              </w:rPr>
              <w:t>258,1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Style w:val="112"/>
                <w:color w:val="000000"/>
                <w:sz w:val="22"/>
                <w:szCs w:val="22"/>
              </w:rPr>
              <w:t>определяется по итогам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112"/>
                <w:color w:val="000000"/>
                <w:sz w:val="22"/>
                <w:szCs w:val="22"/>
              </w:rPr>
              <w:t>определяется по итогам года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112"/>
                <w:color w:val="000000"/>
                <w:sz w:val="22"/>
                <w:szCs w:val="22"/>
              </w:rPr>
              <w:t>определяется по итогам года</w:t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2.3.</w:t>
            </w:r>
          </w:p>
        </w:tc>
        <w:tc>
          <w:tcPr>
            <w:tcW w:w="146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Планирование бюджета муниципального образования сельского поселения</w:t>
            </w:r>
          </w:p>
        </w:tc>
      </w:tr>
      <w:tr>
        <w:trPr>
          <w:trHeight w:val="831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бюджетных ассигнований в проекте бюджета муниципального образования сельского поселения на соответствующий финансовый год  на основе муниципальных программ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 w:hanging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расходов бюджета, формируемых на основании муниципальных программ, 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12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Style w:val="112"/>
                <w:bCs/>
                <w:color w:val="000000"/>
                <w:sz w:val="22"/>
                <w:szCs w:val="22"/>
              </w:rPr>
              <w:t>Оценка эффективности бюджетных расходов на реализацию муниципальных программ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расходов, в отношении которых проведена оценка, 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12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Инвентаризация исполняемых расходных обязательств муниципального образования сельского поселения и принятие мер по отмене расходных обязательств, не отнесенных федеральным законодательством и законодательством Оренбургской области к расходным обязательствам органов местного самоуправления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 w:hanging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записка, 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2.4.</w:t>
            </w:r>
          </w:p>
        </w:tc>
        <w:tc>
          <w:tcPr>
            <w:tcW w:w="146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Сокращение просроченной кредиторской задолженности бюджета муниципального района</w:t>
            </w:r>
          </w:p>
        </w:tc>
      </w:tr>
      <w:tr>
        <w:trPr>
          <w:trHeight w:val="1012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ежемесячного мониторинга просроченной кредиторской задолженности, анализ причин возникновения задолженности, принятие мер по ее погашению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отношение объема просроченной кредиторской задолженности по расходам бюджета муниципального образования сельского поселения к общему объему расходов бюджета муниципального образования сельского поселения,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5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46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Меры по сокращению муниципального долга</w:t>
            </w:r>
          </w:p>
        </w:tc>
      </w:tr>
      <w:tr>
        <w:trPr>
          <w:trHeight w:val="420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Style w:val="112"/>
                <w:bCs/>
                <w:color w:val="000000"/>
                <w:sz w:val="22"/>
                <w:szCs w:val="22"/>
              </w:rPr>
              <w:t>Использование изменения  остатков средств местного бюджета в качестве  приоритетного источника покрытия дефицита  местного 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2018-2024 годы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размера дефицита к изменению остатков средств местного бюджета, 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≤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≤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≤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≤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≤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≤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≤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12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Style w:val="112"/>
                <w:bCs/>
                <w:color w:val="000000"/>
                <w:sz w:val="22"/>
                <w:szCs w:val="22"/>
              </w:rPr>
              <w:t>Не допущение планирования муниципальных заимствований в качестве источника  покрытия  дефицита местного 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2018-2024 годы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планируемых к привлечению муниципальных заимствований, тыс. рублей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12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сохранения уровня дефицита местного бюджета  на уровне не более 5% от суммы доходов сельского поселения без учета безвозмездных поступлений соответственно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2018-2024 годы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дефицита бюджета к доходам бюджета без учета безвозмездных поступлений, про-центов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12" w:hRule="atLeast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мониторинга соответствия параметров муниципального долга и расходов на его обслуживание безопасному уровню и ограничениям, установленным Бюджетным кодексом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2018-2024 годы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общего объема муниципального долга к утвержденному общему годовому объему доходов без учета утвержденного объема безвозмездных поступлений и (или) поступлений налоговых доходов по дополнительным нормативам отчислений, 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12" w:hRule="atLeast"/>
        </w:trPr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расходов на обслуживание муниципального долга в общем объеме расходов местного бюджета, за исключением расходов, осуществляемых за счет субвенций, 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433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4335" w:leader="none"/>
        </w:tabs>
        <w:jc w:val="both"/>
        <w:rPr/>
      </w:pPr>
      <w:r>
        <w:rPr/>
      </w:r>
    </w:p>
    <w:p>
      <w:pPr>
        <w:pStyle w:val="Normal"/>
        <w:shd w:val="clear" w:color="auto" w:fill="FFFFFF" w:themeFill="background1"/>
        <w:tabs>
          <w:tab w:val="clear" w:pos="709"/>
          <w:tab w:val="left" w:pos="4335" w:leader="none"/>
        </w:tabs>
        <w:jc w:val="both"/>
        <w:rPr/>
      </w:pPr>
      <w:r>
        <w:rPr/>
        <w:t>Пояснение к пункту 1.1.7.1 «Прирост поступлений не планируется так как принята максимально возможная ставка по налогу.</w:t>
      </w:r>
    </w:p>
    <w:p>
      <w:pPr>
        <w:pStyle w:val="Normal"/>
        <w:tabs>
          <w:tab w:val="clear" w:pos="709"/>
          <w:tab w:val="left" w:pos="433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4335" w:leader="none"/>
        </w:tabs>
        <w:jc w:val="both"/>
        <w:rPr/>
      </w:pPr>
      <w:r>
        <w:rPr/>
        <w:t xml:space="preserve">Пояснение к пункту 1.1.7.2. «Прирост к сумме начисленного земельного налога не планируется т.к. в 2019 году была проведена переоценка кадастровой стоимости земельных участков, относящихся к землям сельскохозяйственного назначения». </w:t>
      </w:r>
    </w:p>
    <w:p>
      <w:pPr>
        <w:pStyle w:val="Normal"/>
        <w:tabs>
          <w:tab w:val="clear" w:pos="709"/>
          <w:tab w:val="left" w:pos="433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433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433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433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433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433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433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433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433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433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433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433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433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433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433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433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433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4335" w:leader="none"/>
        </w:tabs>
        <w:jc w:val="both"/>
        <w:rPr/>
      </w:pPr>
      <w:r>
        <w:rPr/>
      </w:r>
    </w:p>
    <w:p>
      <w:pPr>
        <w:pStyle w:val="Normal"/>
        <w:ind w:firstLine="113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к плану мероприятий по оздоровлению</w:t>
      </w:r>
    </w:p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муниципальных финансов</w:t>
      </w:r>
    </w:p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муниципального образования «Аксаковский сельсовет» </w:t>
      </w:r>
    </w:p>
    <w:p>
      <w:pPr>
        <w:pStyle w:val="ConsPlusTitle"/>
        <w:jc w:val="right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на 2018-2024 годы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росту доходного потенциала Аксаковского сельсовета Бугурусланского района Оренбургской области и оптимизации расходов бюджета муниципального образования «Аксаковский сельсовет», позволяющий обеспечить с 2020 года финансовое обеспечение в полном объеме расходных обязательств Аксаковского сельсовета без привлечения средств дотации на выравнивание бюджетной обеспеченности сельских поселений.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tbl>
      <w:tblPr>
        <w:tblW w:w="14883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2"/>
        <w:gridCol w:w="5102"/>
        <w:gridCol w:w="1277"/>
        <w:gridCol w:w="1274"/>
        <w:gridCol w:w="1278"/>
        <w:gridCol w:w="1306"/>
        <w:gridCol w:w="1277"/>
        <w:gridCol w:w="1275"/>
        <w:gridCol w:w="1100"/>
      </w:tblGrid>
      <w:tr>
        <w:trPr/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</w:t>
              <w:br/>
              <w:t>п/п</w:t>
            </w:r>
          </w:p>
        </w:tc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Бюджетный эффект (тыс. рублей)</w:t>
            </w:r>
          </w:p>
        </w:tc>
      </w:tr>
      <w:tr>
        <w:trPr/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1"/>
              <w:widowControl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26,0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35,0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66,0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1 167,0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1 130,0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1 130,0</w:t>
            </w:r>
          </w:p>
        </w:tc>
      </w:tr>
      <w:tr>
        <w:trPr>
          <w:trHeight w:val="1625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Усиление межведомственного взаимодействия органа местного самоуправления муниципального образования с территориальным налоговым органом, правоохранительными органами и органами местного самоуправления поселений по выполнению мероприятий, направленных на повышение собираемости доходов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37,0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пересмотр ставок по налогу на имущество физических лиц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24,0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пересмотр ставок по земельному налогу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Оформление невостребованных земель в собственность сельских поселений в целях увеличения доходов от использования и продажи земельных ресурсов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1 105,0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1 105,0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Отмена неэффективных налоговых льгот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Меры по оптимизации расходов, в том числе: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30"/>
              <w:widowControl w:val="false"/>
              <w:jc w:val="righ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30"/>
              <w:widowControl w:val="false"/>
              <w:jc w:val="righ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787,7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1078,1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200,0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rStyle w:val="112"/>
                <w:bCs/>
                <w:color w:val="000000"/>
                <w:sz w:val="22"/>
                <w:szCs w:val="22"/>
              </w:rPr>
              <w:t>Установление нормативов расходов на оплату труда депутатов, выборных должностных лиц и муниципальных служащих органов местного самоуправления.</w:t>
            </w:r>
          </w:p>
          <w:p>
            <w:pPr>
              <w:pStyle w:val="Normal"/>
              <w:widowControl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rStyle w:val="112"/>
                <w:bCs/>
                <w:color w:val="000000"/>
                <w:sz w:val="22"/>
                <w:szCs w:val="22"/>
              </w:rPr>
              <w:t>Ис</w:t>
              <w:softHyphen/>
              <w:t>пользование требований о соблюдении норма</w:t>
              <w:softHyphen/>
              <w:t>тивов в условиях предоставления дополнитель</w:t>
              <w:softHyphen/>
              <w:t>ной финансовой помощи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597,5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820,0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200,0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Оптимизация расходов на содержание матери</w:t>
              <w:softHyphen/>
              <w:t>ально-технической базы му</w:t>
              <w:softHyphen/>
              <w:t>ниципальных учреждений по результатам экономии, сложившейся по итогам проведения за</w:t>
              <w:softHyphen/>
              <w:t>купок для муниципальных нужд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Определяется по итогам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Определяется по итогам года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Определяется по итогам года</w:t>
            </w:r>
          </w:p>
        </w:tc>
      </w:tr>
      <w:tr>
        <w:trPr/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Итого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853,7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245,1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1 330,0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1 330,0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 w:val="28"/>
        </w:rPr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4ef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0b3a0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970f1f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970f1f"/>
    <w:pPr>
      <w:keepNext w:val="true"/>
      <w:jc w:val="center"/>
      <w:outlineLvl w:val="3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basedOn w:val="DefaultParagraphFont"/>
    <w:link w:val="a3"/>
    <w:qFormat/>
    <w:rsid w:val="00fb4ef5"/>
    <w:rPr>
      <w:rFonts w:ascii="Times New Roman" w:hAnsi="Times New Roman" w:eastAsia="Times New Roman" w:cs="Times New Roman"/>
      <w:b/>
      <w:bCs/>
      <w:kern w:val="2"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4c708f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970f1f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970f1f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b3a0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3" w:customStyle="1">
    <w:name w:val="Верхний колонтитул Знак"/>
    <w:basedOn w:val="DefaultParagraphFont"/>
    <w:link w:val="a8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a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Основной шрифт абзаца"/>
    <w:qFormat/>
    <w:rPr/>
  </w:style>
  <w:style w:type="character" w:styleId="Style17">
    <w:name w:val="Выделение"/>
    <w:basedOn w:val="Style16"/>
    <w:qFormat/>
    <w:rPr>
      <w:i/>
      <w:iCs/>
    </w:rPr>
  </w:style>
  <w:style w:type="character" w:styleId="WW8Num2z0">
    <w:name w:val="WW8Num2z0"/>
    <w:qFormat/>
    <w:rPr/>
  </w:style>
  <w:style w:type="character" w:styleId="112">
    <w:name w:val="Основной текст + 112"/>
    <w:basedOn w:val="DefaultParagraphFont"/>
    <w:qFormat/>
    <w:rPr>
      <w:rFonts w:ascii="Times New Roman" w:hAnsi="Times New Roman" w:cs="Times New Roman"/>
      <w:sz w:val="23"/>
      <w:szCs w:val="23"/>
      <w:u w:val="none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Title"/>
    <w:basedOn w:val="Normal"/>
    <w:link w:val="a4"/>
    <w:qFormat/>
    <w:rsid w:val="00fb4ef5"/>
    <w:pPr>
      <w:keepLines/>
      <w:widowControl w:val="false"/>
      <w:jc w:val="center"/>
    </w:pPr>
    <w:rPr>
      <w:b/>
      <w:bCs/>
      <w:kern w:val="2"/>
      <w:sz w:val="28"/>
      <w:szCs w:val="28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c708f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4e5fd0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ConsTitle" w:customStyle="1">
    <w:name w:val="ConsTitle"/>
    <w:qFormat/>
    <w:rsid w:val="00663565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16"/>
      <w:szCs w:val="20"/>
      <w:lang w:val="ru-RU" w:eastAsia="ru-RU" w:bidi="ar-SA"/>
    </w:rPr>
  </w:style>
  <w:style w:type="paragraph" w:styleId="Web" w:customStyle="1">
    <w:name w:val="Обычный (Web)"/>
    <w:basedOn w:val="Normal"/>
    <w:qFormat/>
    <w:rsid w:val="00970f1f"/>
    <w:pPr>
      <w:spacing w:before="100" w:after="100"/>
    </w:pPr>
    <w:rPr>
      <w:rFonts w:ascii="Arial Unicode MS" w:hAnsi="Arial Unicode MS" w:eastAsia="Arial Unicode MS"/>
      <w:sz w:val="24"/>
    </w:rPr>
  </w:style>
  <w:style w:type="paragraph" w:styleId="NoSpacing">
    <w:name w:val="No Spacing"/>
    <w:uiPriority w:val="1"/>
    <w:qFormat/>
    <w:rsid w:val="001067d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9"/>
    <w:uiPriority w:val="99"/>
    <w:unhideWhenUsed/>
    <w:rsid w:val="00ec632a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b"/>
    <w:uiPriority w:val="99"/>
    <w:unhideWhenUsed/>
    <w:rsid w:val="00ec632a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5099f"/>
    <w:pPr>
      <w:spacing w:before="0" w:after="0"/>
      <w:ind w:left="720" w:hanging="0"/>
      <w:contextualSpacing/>
    </w:pPr>
    <w:rPr/>
  </w:style>
  <w:style w:type="paragraph" w:styleId="Style27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pacing w:before="280" w:after="119"/>
    </w:pPr>
    <w:rPr/>
  </w:style>
  <w:style w:type="paragraph" w:styleId="Sdfootnote1">
    <w:name w:val="sdfootnote1"/>
    <w:basedOn w:val="Normal"/>
    <w:qFormat/>
    <w:pPr>
      <w:spacing w:before="280" w:after="0"/>
      <w:ind w:left="340" w:right="0" w:hanging="340"/>
    </w:pPr>
    <w:rPr>
      <w:sz w:val="20"/>
      <w:szCs w:val="20"/>
    </w:rPr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2">
    <w:name w:val="Основной текст с отступом 2"/>
    <w:basedOn w:val="Normal"/>
    <w:qFormat/>
    <w:pPr>
      <w:spacing w:lineRule="auto" w:line="480" w:before="0" w:after="120"/>
      <w:ind w:left="283" w:right="0" w:hanging="0"/>
    </w:pPr>
    <w:rPr>
      <w:sz w:val="24"/>
      <w:szCs w:val="24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en-US" w:bidi="ar-SA"/>
    </w:rPr>
  </w:style>
  <w:style w:type="paragraph" w:styleId="Style30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Style31">
    <w:name w:val="Прижатый влево"/>
    <w:basedOn w:val="Normal"/>
    <w:next w:val="Normal"/>
    <w:qFormat/>
    <w:pPr>
      <w:widowControl w:val="false"/>
    </w:pPr>
    <w:rPr>
      <w:rFonts w:ascii="Arial" w:hAnsi="Arial" w:cs="Arial"/>
    </w:rPr>
  </w:style>
  <w:style w:type="paragraph" w:styleId="Style32">
    <w:name w:val="Стиль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0"/>
      <w:szCs w:val="20"/>
      <w:lang w:val="ru-RU" w:eastAsia="ar-SA" w:bidi="ar-SA"/>
    </w:rPr>
  </w:style>
  <w:style w:type="paragraph" w:styleId="Style33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E30A-5C75-491D-A70A-1D3CECA2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LibreOffice/7.0.1.2$Windows_X86_64 LibreOffice_project/7cbcfc562f6eb6708b5ff7d7397325de9e764452</Application>
  <Pages>14</Pages>
  <Words>1859</Words>
  <Characters>12780</Characters>
  <CharactersWithSpaces>14366</CharactersWithSpaces>
  <Paragraphs>491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cp:lastPrinted>2022-03-10T16:06:24Z</cp:lastPrinted>
  <dcterms:modified xsi:type="dcterms:W3CDTF">2022-03-10T16:06:30Z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