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Style21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>
      <w:pPr>
        <w:pStyle w:val="Style21"/>
        <w:ind w:firstLine="540"/>
        <w:rPr>
          <w:caps/>
        </w:rPr>
      </w:pPr>
      <w:r>
        <w:rPr>
          <w:caps/>
        </w:rPr>
        <w:t>АКСАКОВСКИЙ сельсовет</w:t>
      </w:r>
    </w:p>
    <w:p>
      <w:pPr>
        <w:pStyle w:val="Style21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 </w:t>
      </w:r>
      <w:bookmarkStart w:id="0" w:name="_Hlk51667561"/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созыв)</w:t>
      </w:r>
    </w:p>
    <w:p>
      <w:pPr>
        <w:pStyle w:val="Style21"/>
        <w:ind w:firstLine="540"/>
        <w:rPr>
          <w:bCs w:val="false"/>
          <w:kern w:val="0"/>
          <w:szCs w:val="20"/>
        </w:rPr>
      </w:pPr>
      <w:r>
        <w:rPr>
          <w:bCs w:val="false"/>
          <w:kern w:val="0"/>
          <w:szCs w:val="20"/>
        </w:rPr>
      </w:r>
    </w:p>
    <w:p>
      <w:pPr>
        <w:pStyle w:val="Style21"/>
        <w:ind w:firstLine="540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CD4711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1435" cy="635"/>
                <wp:effectExtent l="0" t="19050" r="19050" b="381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3pt" to="503.95pt,4.3pt" ID="Прямая соединительная линия 1" stroked="t" style="position:absolute" wp14:anchorId="1CD4711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2023 год и плановый период 2024 и 2025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Статья 1.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муниципального образования Аксаковский сельсовет (далее-местный бюджет) на 2023 год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в сумме 24364,3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24364,3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в сумме 0, 0 тыс. рублей;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2024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муниципального образования Аксаковский сельсовет на 2024 и 2025 годы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2024 год в – 6991,4 тыс. рублей, на 2025 год – 6931,3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2024 год в – 6991,4 тыс. рублей, в том числе условно утвержденные расходы – 171,3 тыс. рублей, на 2025 год – 6931,3 тыс. рублей, в том числе условно утвержденные расходы – 339,4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2024 год - 0,0 тыс. рублей, на 2025 год - 0,0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2025 года – 0,0 тыс. рублей, в том числе верхний предел долга по муниципальным гарантиям – 0,0 тыс. рублей, верхний предел муниципального внутреннего долга муниципального образования Аксаковский сельсовет на 1 января 2026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  <w:szCs w:val="28"/>
        </w:rPr>
        <w:t>Статья 2.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Учесть поступление доходов в бюджет муниципального образования по кодам видов (подвидов) доходов на 2023 год и на плановый период 2024 и 2025 годов, согласно приложению №1 к настоящему Решению.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2023 год и на  плановый  период 2024 и 2025 годов согласно приложению 2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 расходов бюджета муниципального образования  Аксаковский сельсовет на 2023 год и на плановый период 2024 и 2025 годов согласно приложению №3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 Аксаковский сельсовет на 2023 год и на плановый период  2024 и 2025 годов по разделам, подразделам, целевым статьям (муниципальным программам и непрограммным направлениям деятельности) и группам и подгруппам видов расходов классификации расходов согласно приложению №4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 распределение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бюджетных ассигнований бюджета муниципального образования  Аксаковский сельсовет на 2023 год и на плановый период 2024 и 2025 годов по целевым статьям (муниципальным программам и непрограммным направлениям деятельности), разделам, подразделам, группам  и  подгруппам видов расходов классификации расходов бюджетов, согласно приложению  №5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 муниципального  образования,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муниципального 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образования, связанных с изменениями бюджетной классификации;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района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средств бюджета муниципального района по разделам, подразделам, целевым статьям, видам расходов в целях исполнения обязательств бюджета муниципального образования в пределах общего объема бюджетных ассигнований бюджета муниципального района;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Бугурусланского  района и (или) нормативными правовыми актами, устанавливающими правила предоставления межбюджетных трансфертов;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задач национальных и федеральных проектов, и приоритетных проектов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и непрограммных мероприятий;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 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 образования, между разделами, подразделами, целевыми статьями, видами расходов на повышение оплаты труда работников муниципальных учреждений.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 муниципального района;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образования.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муниципального образования средств, сэкономленных заказчиками при осуществлении закупок товаров, работ,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15 ноября 2023 года), учитываются при последующем внесении изменений в настоящее Решение.</w:t>
      </w:r>
    </w:p>
    <w:p>
      <w:pPr>
        <w:pStyle w:val="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источники финансирования дефицита бюджета муниципального образования Аксаковский сельсовет на 2023 год и на плановый период 2024 и 2025 годов согласно приложению №6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трансфертов, подлежащих перечислению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 в сумме 1664,3 тыс. рублей, на 2024 год в сумме 1664,2 тыс. рублей и 2025 год в сумме 1664,2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1.Утвердить основные  параметры первоочередных  расходов бюджета  </w:t>
      </w:r>
      <w:r>
        <w:rPr>
          <w:sz w:val="28"/>
          <w:szCs w:val="28"/>
        </w:rPr>
        <w:t>муниципального образования Аксаковский сельсовет</w:t>
      </w:r>
      <w:r>
        <w:rPr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>на 2023 год в сумме 3589,7  тыс. рублей, в т.ч. на оплату труда с начислениями в сумме 1922,3  тыс. рублей, на оплату коммунальных услуг учреждений, в сумме 1667,4 тыс. рублей.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распределение основных параметров первоочередных расходов на 2023 год согласно приложению 7 к настоящему Решению.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муниципальных внутренних заимствований муниципального образования Аксаковский сельсовет на 2023 год и плановый период  2024 и 2025 годов согласно приложению №8 к настоящему Решению.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12</w:t>
      </w:r>
      <w:r>
        <w:rPr>
          <w:iCs/>
          <w:sz w:val="28"/>
          <w:szCs w:val="28"/>
        </w:rPr>
        <w:t>.</w:t>
      </w:r>
    </w:p>
    <w:p>
      <w:pPr>
        <w:pStyle w:val="Normal"/>
        <w:ind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Предоставление муниципальных гарантий на 2023 год и на плановый период 2024 и 2025 годов не предусматривается.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2.Бюджетные ассигнования на возможное исполнение муниципальных гарантий по гарантийным случаям на 2023 год и на плановый период 2024 и 2025 годов не предусматриваются.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13. 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пунктом 2 статьи 184.1 Бюджетного кодекса Российской Федерации установить норматив зачисления доходов от безвозмездных поступлений в бюджет муниципального образования – 100 процентов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14. 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Установить, что размеры окладов денежного содержания по должностям муниципальной  службы МО Аксаковский сельсовет индексируются с 1 октября 2023 года с учетом уровня инфляции (потребительских цен).</w:t>
      </w:r>
    </w:p>
    <w:p>
      <w:pPr>
        <w:pStyle w:val="Normal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15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(обнародования), но не ранее1 января 2023 года.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«Аксаковский сельсовет» на 2023 год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2024 и 2025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(подвидов) доходов                                               на 2023 год и на плановый период 2024 и 2025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</w:t>
      </w:r>
      <w:r>
        <w:rPr/>
        <w:t>Тыс.руб.</w:t>
      </w:r>
    </w:p>
    <w:tbl>
      <w:tblPr>
        <w:tblW w:w="15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8156"/>
        <w:gridCol w:w="1342"/>
        <w:gridCol w:w="1450"/>
        <w:gridCol w:w="1307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jc w:val="left"/>
              <w:rPr>
                <w:szCs w:val="24"/>
              </w:rPr>
            </w:pPr>
            <w:r>
              <w:rPr>
                <w:szCs w:val="24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4622,1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4357,0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4384,0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441,0</w:t>
            </w:r>
          </w:p>
        </w:tc>
      </w:tr>
      <w:tr>
        <w:trPr>
          <w:trHeight w:val="112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437,0</w:t>
            </w:r>
          </w:p>
        </w:tc>
      </w:tr>
      <w:tr>
        <w:trPr>
          <w:trHeight w:val="83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>
              <w:r>
                <w:rPr>
                  <w:sz w:val="24"/>
                  <w:szCs w:val="24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2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871,3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1173,6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1214,5</w:t>
            </w:r>
          </w:p>
        </w:tc>
      </w:tr>
      <w:tr>
        <w:trPr>
          <w:trHeight w:val="115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</w:tr>
      <w:tr>
        <w:trPr>
          <w:trHeight w:val="173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-107,5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-111,8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</w:tr>
      <w:tr>
        <w:trPr>
          <w:trHeight w:val="50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94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ind w:left="34" w:right="170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ind w:left="34" w:right="170" w:hanging="0"/>
              <w:jc w:val="both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111 05020 00 0000 120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Доходы, получаемые в виде арендной платы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 xml:space="preserve">указанных земельных участков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122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111 05025 10 0000 120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170" w:hanging="0"/>
              <w:contextualSpacing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34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34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1 17 15000 00 0000 150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361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19742,2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2634,4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2547,3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19742,2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2634,4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2547,3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18599,0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144,3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24364,3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6991,4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6931,3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2023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2024 и 2025 годов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2023 год и на плановый период 2024 и 2025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right="-17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490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738"/>
        <w:gridCol w:w="9640"/>
        <w:gridCol w:w="1274"/>
        <w:gridCol w:w="1276"/>
        <w:gridCol w:w="1276"/>
      </w:tblGrid>
      <w:tr>
        <w:trPr>
          <w:trHeight w:val="70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2522,4</w:t>
            </w:r>
          </w:p>
        </w:tc>
      </w:tr>
      <w:tr>
        <w:trPr>
          <w:trHeight w:val="56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604.4</w:t>
            </w:r>
          </w:p>
        </w:tc>
      </w:tr>
      <w:tr>
        <w:trPr>
          <w:trHeight w:val="75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1524,8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390.4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139,4</w:t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</w:tr>
      <w:tr>
        <w:trPr>
          <w:trHeight w:val="40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339,4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339,4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6931,3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2023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2024 и 2025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2023 год и на плановый период 2024 и 2025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59"/>
        <w:gridCol w:w="709"/>
        <w:gridCol w:w="1276"/>
        <w:gridCol w:w="1134"/>
        <w:gridCol w:w="1226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6991,4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6931,3</w:t>
            </w:r>
          </w:p>
        </w:tc>
      </w:tr>
      <w:tr>
        <w:trPr>
          <w:trHeight w:val="213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2547,7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2522,4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604,4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1524,8</w:t>
            </w:r>
          </w:p>
        </w:tc>
      </w:tr>
      <w:tr>
        <w:trPr>
          <w:trHeight w:val="85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1515,1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1489,8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85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28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</w:tr>
      <w:tr>
        <w:trPr>
          <w:trHeight w:val="92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</w:tr>
      <w:tr>
        <w:trPr>
          <w:trHeight w:val="26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  <w:tr>
        <w:trPr>
          <w:trHeight w:val="84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139,4</w:t>
            </w:r>
          </w:p>
        </w:tc>
      </w:tr>
      <w:tr>
        <w:trPr>
          <w:trHeight w:val="3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451180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451180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16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24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852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1256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поселений за счет средств дотации, распределенной исходя из необходимости осуществления дорожной деятельности в отношении дорог местного 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124029Д010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124029Д010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</w:rPr>
              <w:t xml:space="preserve">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101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207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77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S1412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S1412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613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76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1540400000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27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339,4</w:t>
            </w:r>
          </w:p>
        </w:tc>
      </w:tr>
      <w:tr>
        <w:trPr>
          <w:trHeight w:val="311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6991,4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6931,3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2023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2024 и 2025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2023 год и на плановый период 2024 и 2025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09"/>
        <w:gridCol w:w="567"/>
        <w:gridCol w:w="1560"/>
        <w:gridCol w:w="708"/>
        <w:gridCol w:w="1276"/>
        <w:gridCol w:w="1229"/>
        <w:gridCol w:w="1179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2547,7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2522,4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1550,1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1524,8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301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621,8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7710000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</w:tr>
      <w:tr>
        <w:trPr>
          <w:trHeight w:val="431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25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  <w:tr>
        <w:trPr>
          <w:trHeight w:val="84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7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6040,1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6040,1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1002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6040,1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312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1979,0</w:t>
            </w:r>
          </w:p>
        </w:tc>
      </w:tr>
      <w:tr>
        <w:trPr>
          <w:trHeight w:val="88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«Капитальный ремонт и ремонт автомобильных дорог общего пользования населенных пунктов за счет средств местного 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1240200000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1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поселений за счет средств дотации, распределённой исходя  из необходимости осуществления дорожной деятельности в отношении дорог местного 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124029Д010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124029Д010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</w:rPr>
              <w:t xml:space="preserve">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3220,6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263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616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33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44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21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78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инициативных проектов на муниципальном уровне (благоустройство мест захоронения)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S1412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S1412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281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281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281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281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1540400000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7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2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24364,3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6991,4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6931,3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№5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2023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2024 и 2025 годов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2023 году и плановый период 2024 и 2025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587" w:type="dxa"/>
        <w:jc w:val="left"/>
        <w:tblInd w:w="-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3"/>
        <w:gridCol w:w="1554"/>
        <w:gridCol w:w="703"/>
        <w:gridCol w:w="563"/>
        <w:gridCol w:w="704"/>
        <w:gridCol w:w="1082"/>
        <w:gridCol w:w="1135"/>
        <w:gridCol w:w="991"/>
      </w:tblGrid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>
        <w:trPr>
          <w:trHeight w:val="27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13720,6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7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13720,6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69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41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41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53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инициативных проектов на муниципальном уровне (Благоустройство мест захоронения)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1412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1412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снижение загрязнения атмосферного воздуха»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снижение загрязнения атмосферного воздуха»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94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6040,1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1979,0</w:t>
            </w:r>
          </w:p>
        </w:tc>
      </w:tr>
      <w:tr>
        <w:trPr>
          <w:trHeight w:val="31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6040,1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1979,0</w:t>
            </w:r>
          </w:p>
        </w:tc>
      </w:tr>
      <w:tr>
        <w:trPr>
          <w:trHeight w:val="102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0200000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5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дотации, распределяемой исходя из необходимости осуществления дорожной деятельности в отношении дорог местного значения»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29Д010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29Д010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544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29Д010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68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4029Д010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46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«Содержание автомобильных дорог и инженерных сооружений на них в границах  поселений»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1979,0</w:t>
            </w:r>
          </w:p>
        </w:tc>
      </w:tr>
      <w:tr>
        <w:trPr>
          <w:trHeight w:val="814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</w:tr>
      <w:tr>
        <w:trPr>
          <w:trHeight w:val="11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</w:tr>
      <w:tr>
        <w:trPr>
          <w:trHeight w:val="54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«Меры поддержки общественных объединений  пожарной  охраны и добровольных пожарных в муниципальном образовании сельсовета»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1340100000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68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45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4353,7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3885,3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3864,9</w:t>
            </w:r>
          </w:p>
        </w:tc>
      </w:tr>
      <w:tr>
        <w:trPr>
          <w:trHeight w:val="54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4353,7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3885,3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3864,9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  <w:bookmarkStart w:id="1" w:name="_GoBack"/>
            <w:bookmarkEnd w:id="1"/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муниципального образования»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1540351180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  <w:r>
              <w:rPr>
                <w:i/>
                <w:sz w:val="24"/>
                <w:szCs w:val="24"/>
              </w:rPr>
              <w:t>40359302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  <w:r>
              <w:rPr>
                <w:i/>
                <w:sz w:val="24"/>
                <w:szCs w:val="24"/>
              </w:rPr>
              <w:t>40359302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  <w:r>
              <w:rPr>
                <w:i/>
                <w:sz w:val="24"/>
                <w:szCs w:val="24"/>
              </w:rPr>
              <w:t>40359302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района»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339,4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6931,3</w:t>
            </w:r>
          </w:p>
        </w:tc>
      </w:tr>
    </w:tbl>
    <w:p>
      <w:pPr>
        <w:pStyle w:val="Normal"/>
        <w:ind w:right="-598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2023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2024 и 2025 годов  </w:t>
      </w:r>
    </w:p>
    <w:p>
      <w:pPr>
        <w:pStyle w:val="Normal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на 2023 год и на плановый период 2024 и 2025 годов</w:t>
      </w:r>
    </w:p>
    <w:p>
      <w:pPr>
        <w:pStyle w:val="Normal"/>
        <w:jc w:val="righ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6"/>
        <w:gridCol w:w="8080"/>
        <w:gridCol w:w="1135"/>
        <w:gridCol w:w="1274"/>
        <w:gridCol w:w="1135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-6931,3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-6931,3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-6931,3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-6931,3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6931,3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6931,3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6931,3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6931,3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2023 год и на плановый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2024 и 2025 годов»</w:t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 первоочередных расходов бюджета муниципального образования  Аксаковский сельсовет Бугурусланского района Оренбургской области на 2023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3"/>
        <w:gridCol w:w="6556"/>
        <w:gridCol w:w="1951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1397,0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 т.ч.: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коммунальных услуг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1667,4</w:t>
            </w:r>
          </w:p>
        </w:tc>
      </w:tr>
    </w:tbl>
    <w:p>
      <w:p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keepNext w:val="true"/>
        <w:numPr>
          <w:ilvl w:val="0"/>
          <w:numId w:val="0"/>
        </w:numPr>
        <w:spacing w:before="240" w:after="60"/>
        <w:ind w:firstLine="10080"/>
        <w:jc w:val="right"/>
        <w:outlineLvl w:val="0"/>
        <w:rPr>
          <w:rFonts w:cs="Arial"/>
          <w:bCs/>
          <w:kern w:val="2"/>
          <w:sz w:val="24"/>
          <w:szCs w:val="24"/>
        </w:rPr>
      </w:pPr>
      <w:r>
        <w:rPr>
          <w:rFonts w:cs="Arial"/>
          <w:bCs/>
          <w:kern w:val="2"/>
          <w:sz w:val="24"/>
          <w:szCs w:val="24"/>
        </w:rPr>
        <w:t>Приложение №8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на 2023 год и на плановый период 2024 и 2025 годов»</w:t>
      </w:r>
    </w:p>
    <w:p>
      <w:pPr>
        <w:pStyle w:val="Normal"/>
        <w:ind w:firstLine="8505"/>
        <w:jc w:val="right"/>
        <w:rPr>
          <w:sz w:val="4"/>
          <w:szCs w:val="24"/>
          <w:vertAlign w:val="subscript"/>
        </w:rPr>
      </w:pPr>
      <w:r>
        <w:rPr>
          <w:sz w:val="4"/>
          <w:szCs w:val="24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Аксаковский сельсовет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 на 2023 год и на плановый период 2024 и 2025 годов</w:t>
      </w:r>
    </w:p>
    <w:p>
      <w:pPr>
        <w:pStyle w:val="Normal"/>
        <w:jc w:val="both"/>
        <w:rPr>
          <w:sz w:val="2"/>
          <w:szCs w:val="28"/>
          <w:vertAlign w:val="subscript"/>
        </w:rPr>
      </w:pPr>
      <w:r>
        <w:rPr>
          <w:sz w:val="2"/>
          <w:szCs w:val="28"/>
          <w:vertAlign w:val="subscript"/>
        </w:rPr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(тыс. рублей)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1431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0"/>
        <w:gridCol w:w="1847"/>
        <w:gridCol w:w="2000"/>
        <w:gridCol w:w="1845"/>
        <w:gridCol w:w="2000"/>
        <w:gridCol w:w="1854"/>
        <w:gridCol w:w="2000"/>
      </w:tblGrid>
      <w:tr>
        <w:trPr>
          <w:tblHeader w:val="true"/>
          <w:trHeight w:val="15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2024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trHeight w:val="855" w:hRule="atLeas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spacing w:before="0" w:after="0"/>
              <w:ind w:left="34" w:hanging="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spacing w:before="0" w:after="0"/>
              <w:ind w:left="34" w:hanging="0"/>
              <w:contextualSpacing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Погашение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trHeight w:val="1327" w:hRule="exac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Погашение кредитов, привлеченных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 кредитов из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3"/>
              </w:numPr>
              <w:ind w:left="34"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Бюджетные кредиты, предоставленные за счет средств федерального бюджета на пополнение остатков средств на едином счете бюджета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Погашение бюджетом муниципального образования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 Бюджетные кредиты, предоставленные за счет средств областного бюджета на пополнение остатков средств на едином счете бюджета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 Бюджетные кредиты, предоставленные для частичного покрытия дефицита бюджета муниципального образования области, возврат которых осуществляется муниципальным образованием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0"/>
        <w:rPr>
          <w:color w:val="FF0000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e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Заголовок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eastAsia="ru-RU" w:val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hyperlink" Target="consultantplus://offline/ref=2D600DE88F1F0E6629CBA98A81B44B0564AD0E2AB9C75338D643C7071C6DF3A159DD296EAC929ACBO1jB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E62A-5050-498A-AF8A-018BF153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Application>LibreOffice/7.0.1.2$Windows_X86_64 LibreOffice_project/7cbcfc562f6eb6708b5ff7d7397325de9e764452</Application>
  <Pages>42</Pages>
  <Words>8117</Words>
  <Characters>53331</Characters>
  <CharactersWithSpaces>59056</CharactersWithSpaces>
  <Paragraphs>3139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2022-11-02T11:29:00Z</dcterms:created>
  <dc:creator>1</dc:creator>
  <dc:description/>
  <dc:language>ru-RU</dc:language>
  <cp:lastModifiedBy/>
  <cp:lastPrinted>2022-11-12T10:17:00Z</cp:lastPrinted>
  <dcterms:modified xsi:type="dcterms:W3CDTF">2022-11-16T09:54:13Z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