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1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1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1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 </w:t>
      </w:r>
      <w:bookmarkStart w:id="0" w:name="_Hlk51667561"/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созыв)</w:t>
      </w:r>
    </w:p>
    <w:p>
      <w:pPr>
        <w:pStyle w:val="Style21"/>
        <w:ind w:firstLine="540"/>
        <w:rPr>
          <w:bCs w:val="false"/>
          <w:kern w:val="0"/>
          <w:szCs w:val="20"/>
        </w:rPr>
      </w:pPr>
      <w:r>
        <w:rPr>
          <w:bCs w:val="false"/>
          <w:kern w:val="0"/>
          <w:szCs w:val="20"/>
        </w:rPr>
      </w:r>
    </w:p>
    <w:p>
      <w:pPr>
        <w:pStyle w:val="Style21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CD4711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1435" cy="635"/>
                <wp:effectExtent l="0" t="19050" r="19050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3.95pt,4.3pt" ID="Прямая соединительная линия 1" stroked="t" style="position:absolute" wp14:anchorId="1CD4711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2023 год и плановый период 2024 и 2025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Статья 1.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муниципального образования Аксаковский сельсовет (далее-местный бюджет) на 2023 год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в сумме 8299,9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8299,9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в сумме 0, 0 тыс. рублей;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2024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муниципального образования Аксаковский сельсовет на 2024 и 2025 годы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2024 год в – 7896,1 тыс. рублей, на 2025 год – 6976,7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2024 год в – 7896,1 тыс. рублей, в том числе условно утвержденные расходы – 170,8 тыс. рублей, на 2025 год – 6976,7 тыс. рублей, в том числе условно утвержденные расходы – 343,0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2024 год - 0,0 тыс. рублей, на 2025 год - 0,0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2025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Аксаковский сельсовет на 1 января 2026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>Статья 2.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Учесть поступление доходов в бюджет муниципального образования по кодам видов (подвидов) доходов на 2023 год и на плановый период 2024 и 2025 годов, согласно приложению №1 к настоящему Решению.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 плановый  период 2024 и 2025 годов согласно приложению 2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 расходов бюджета муниципального образования  Аксаковский сельсовет на 2023 год и на плановый период 2024 и 2025 годов согласно приложению №3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 Аксаковский сельсовет на 2023 год и на плановый период  2024 и 2025 годов по разделам, подразделам, целевым статьям (муниципальным программам и непрограммным направлениям деятельности) и группам и подгруппам видов расходов классификации расходов согласно приложению №4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 распределение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бюджетных ассигнований бюджета муниципального образования  Аксаковский сельсовет на 2023 год и на плановый период 2024 и 2025 годов по целевым статьям (муниципальным программам и непрограммным направлениям деятельности), разделам, подразделам, группам  и  подгруппам видов расходов классификации расходов бюджетов, согласно приложению  №5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 муниципального  образования,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средств бюджета муниципального района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Бугурусланского  района и (или) нормативными правовыми актами, устанавливающими правила предоставления межбюджетных трансфертов;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муниципального образования средств, сэкономленных заказчиками при осуществлении закупок товаров, работ,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15 ноября 2023 года), учитываются при последующем внесении изменений в настоящее Решение.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источники финансирования дефицита бюджета муниципального образования Аксаковский сельсовет на 2023 год и на плановый период 2024 и 2025 годов согласно приложению №6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трансфертов,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 в сумме 1512,6 тыс. рублей, на 2024 год в сумме 1512,6 тыс. рублей и 2025 год в сумме 1512,6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1.Утвердить основные  параметры первоочередных  расходов бюджета  </w:t>
      </w:r>
      <w:r>
        <w:rPr>
          <w:sz w:val="28"/>
          <w:szCs w:val="28"/>
        </w:rPr>
        <w:t>муниципального образования Аксаковский сельсовет</w:t>
      </w:r>
      <w:r>
        <w:rPr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на 2023 год в сумме 3589,7  тыс. рублей, в т.ч. на оплату труда с начислениями в сумме 1922,3  тыс. рублей, на оплату коммунальных услуг учреждений, в сумме 1667,4 тыс. рублей.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распределение основных параметров первоочередных расходов на 2023 год согласно приложению 7 к настоящему Решению.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 заимствований муниципального образования Аксаковский сельсовет на 2023 год и плановый период  2024 и 2025 годов согласно приложению №8 к настоящему Решению.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12</w:t>
      </w:r>
      <w:r>
        <w:rPr>
          <w:iCs/>
          <w:sz w:val="28"/>
          <w:szCs w:val="28"/>
        </w:rPr>
        <w:t>.</w:t>
      </w:r>
    </w:p>
    <w:p>
      <w:pPr>
        <w:pStyle w:val="Normal"/>
        <w:ind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Предоставление муниципальных гарантий на 2023 год и на плановый период 2024 и 2025 годов не предусматривается.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2.Бюджетные ассигнования на возможное исполнение муниципальных гарантий по гарантийным случаям на 2023 год и на плановый период 2024 и 2025 годов не предусматриваются.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13.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пунктом 2 статьи 184.1 Бюджетного кодекса Российской Федерации установить норматив зачисления доходов от безвозмездных поступлений в бюджет муниципального образования – 100 процентов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14.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Установить, что размеры окладов денежного содержания по должностям муниципальной  службы МО Аксаковский сельсовет индексируются с 1 октября 2022 года с учетом уровня инфляции (потребительских цен).</w:t>
      </w:r>
    </w:p>
    <w:p>
      <w:pPr>
        <w:pStyle w:val="Normal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15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(обнародования), но не ранее1 января 2023 года.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2023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2024 и 2025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2023 год и на плановый период 2024 и 2025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>Тыс.руб.</w:t>
      </w:r>
    </w:p>
    <w:tbl>
      <w:tblPr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8156"/>
        <w:gridCol w:w="1342"/>
        <w:gridCol w:w="1450"/>
        <w:gridCol w:w="1307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4490,5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352,0</w:t>
            </w:r>
          </w:p>
        </w:tc>
      </w:tr>
      <w:tr>
        <w:trPr>
          <w:trHeight w:val="112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342,0</w:t>
            </w:r>
          </w:p>
        </w:tc>
      </w:tr>
      <w:tr>
        <w:trPr>
          <w:trHeight w:val="8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2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115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>
          <w:trHeight w:val="173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</w:tr>
      <w:tr>
        <w:trPr>
          <w:trHeight w:val="50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94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ind w:left="34" w:right="17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ind w:left="34" w:right="170" w:hanging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Доходы, получаемые в виде арендной платы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указанных земельных участков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12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170" w:hanging="0"/>
              <w:contextualSpacing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7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3809,4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3809,4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2240,0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территорий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8299,9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7896,1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6976,7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7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49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38"/>
        <w:gridCol w:w="9640"/>
        <w:gridCol w:w="1274"/>
        <w:gridCol w:w="1276"/>
        <w:gridCol w:w="1276"/>
      </w:tblGrid>
      <w:tr>
        <w:trPr>
          <w:trHeight w:val="70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56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</w:tr>
      <w:tr>
        <w:trPr>
          <w:trHeight w:val="7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1056,6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112,1</w:t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>
        <w:trPr>
          <w:trHeight w:val="40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2023 год и на плановый период 2024 и 2025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59"/>
        <w:gridCol w:w="709"/>
        <w:gridCol w:w="1276"/>
        <w:gridCol w:w="1134"/>
        <w:gridCol w:w="1226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8299,9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2142,5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92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451180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451180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331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926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71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«Мероприятие в области градорегулирования»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11408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11408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01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60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2023 год и на плановый период 2024 и 2025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09"/>
        <w:gridCol w:w="567"/>
        <w:gridCol w:w="1560"/>
        <w:gridCol w:w="708"/>
        <w:gridCol w:w="1276"/>
        <w:gridCol w:w="1275"/>
        <w:gridCol w:w="1133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43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476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1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12401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12401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1140800000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63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44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11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73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2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№5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2023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2023 году и плановый период 2024 и 2025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339" w:type="dxa"/>
        <w:jc w:val="left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3"/>
        <w:gridCol w:w="1554"/>
        <w:gridCol w:w="704"/>
        <w:gridCol w:w="561"/>
        <w:gridCol w:w="705"/>
        <w:gridCol w:w="986"/>
        <w:gridCol w:w="988"/>
        <w:gridCol w:w="986"/>
      </w:tblGrid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27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19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1753,5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1324,4</w:t>
            </w:r>
          </w:p>
        </w:tc>
      </w:tr>
      <w:tr>
        <w:trPr>
          <w:trHeight w:val="7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1140800000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82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116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2538,1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102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</w:t>
            </w:r>
            <w:r>
              <w:rPr>
                <w:bCs/>
                <w:i/>
                <w:sz w:val="24"/>
                <w:szCs w:val="24"/>
              </w:rPr>
              <w:t>4</w:t>
            </w:r>
            <w:r>
              <w:rPr>
                <w:bCs/>
                <w:i/>
                <w:sz w:val="24"/>
                <w:szCs w:val="24"/>
                <w:lang w:val="en-US"/>
              </w:rPr>
              <w:t>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</w:t>
            </w:r>
            <w:r>
              <w:rPr>
                <w:bCs/>
                <w:i/>
                <w:sz w:val="24"/>
                <w:szCs w:val="24"/>
              </w:rPr>
              <w:t>24</w:t>
            </w:r>
            <w:r>
              <w:rPr>
                <w:bCs/>
                <w:i/>
                <w:sz w:val="24"/>
                <w:szCs w:val="24"/>
                <w:lang w:val="en-US"/>
              </w:rPr>
              <w:t>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54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4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45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3296,8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3193,4</w:t>
            </w:r>
          </w:p>
        </w:tc>
      </w:tr>
      <w:tr>
        <w:trPr>
          <w:trHeight w:val="5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40000000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2477,4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1708,2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6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40000000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1585,1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1592,4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1540351180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ind w:right="-598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2023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2023 год и на плановый период 2024 и 2025 годов</w:t>
      </w:r>
    </w:p>
    <w:p>
      <w:pPr>
        <w:pStyle w:val="Normal"/>
        <w:jc w:val="righ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6"/>
        <w:gridCol w:w="8080"/>
        <w:gridCol w:w="1135"/>
        <w:gridCol w:w="1274"/>
        <w:gridCol w:w="1135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2023 год и на плановый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2024 и 2025 годов»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"/>
        <w:gridCol w:w="6556"/>
        <w:gridCol w:w="1951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1397,0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коммунальных услуг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1667,4</w:t>
            </w:r>
          </w:p>
        </w:tc>
      </w:tr>
    </w:tbl>
    <w:p>
      <w:p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firstLine="10080"/>
        <w:jc w:val="right"/>
        <w:outlineLvl w:val="0"/>
        <w:rPr>
          <w:rFonts w:cs="Arial"/>
          <w:bCs/>
          <w:kern w:val="2"/>
          <w:sz w:val="24"/>
          <w:szCs w:val="24"/>
        </w:rPr>
      </w:pPr>
      <w:r>
        <w:rPr>
          <w:rFonts w:cs="Arial"/>
          <w:bCs/>
          <w:kern w:val="2"/>
          <w:sz w:val="24"/>
          <w:szCs w:val="24"/>
        </w:rPr>
        <w:t>Приложение №8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на 2023 год и на плановый период 2024 и 2025 годов»</w:t>
      </w:r>
    </w:p>
    <w:p>
      <w:pPr>
        <w:pStyle w:val="Normal"/>
        <w:ind w:firstLine="8505"/>
        <w:jc w:val="right"/>
        <w:rPr>
          <w:sz w:val="4"/>
          <w:szCs w:val="24"/>
          <w:vertAlign w:val="subscript"/>
        </w:rPr>
      </w:pPr>
      <w:r>
        <w:rPr>
          <w:sz w:val="4"/>
          <w:szCs w:val="24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Аксаковский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 на 2023 год и на плановый период 2024 и 2025 годов</w:t>
      </w:r>
    </w:p>
    <w:p>
      <w:pPr>
        <w:pStyle w:val="Normal"/>
        <w:jc w:val="both"/>
        <w:rPr>
          <w:sz w:val="2"/>
          <w:szCs w:val="28"/>
          <w:vertAlign w:val="subscript"/>
        </w:rPr>
      </w:pPr>
      <w:r>
        <w:rPr>
          <w:sz w:val="2"/>
          <w:szCs w:val="28"/>
          <w:vertAlign w:val="subscript"/>
        </w:rPr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(тыс. рублей)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1431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0"/>
        <w:gridCol w:w="1847"/>
        <w:gridCol w:w="2000"/>
        <w:gridCol w:w="1845"/>
        <w:gridCol w:w="2000"/>
        <w:gridCol w:w="1854"/>
        <w:gridCol w:w="2000"/>
      </w:tblGrid>
      <w:tr>
        <w:trPr>
          <w:tblHeader w:val="true"/>
          <w:trHeight w:val="15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2024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855" w:hRule="atLeas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Погашение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1327" w:hRule="exac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bookmarkStart w:id="1" w:name="_GoBack"/>
            <w:bookmarkEnd w:id="1"/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 кредитов из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ind w:left="34"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Бюджетные кредиты, предоставленные за счет средств федерального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Погашение бюджетом муниципального образования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 Бюджетные кредиты, предоставленные за счет средств областного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 Бюджетные кредиты, предоставленные для частичного покрытия дефицита бюджета муниципального образования области, возврат которых осуществляется муниципальным образованием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color w:val="FF000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hyperlink" Target="consultantplus://offline/ref=2D600DE88F1F0E6629CBA98A81B44B0564AD0E2AB9C75338D643C7071C6DF3A159DD296EAC929ACBO1jB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60E2-F5D1-4982-88FB-93E29925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65</Pages>
  <Words>7999</Words>
  <Characters>52770</Characters>
  <CharactersWithSpaces>58513</CharactersWithSpaces>
  <Paragraphs>2999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2022-11-02T11:29:00Z</dcterms:created>
  <dc:creator>1</dc:creator>
  <dc:description/>
  <dc:language>ru-RU</dc:language>
  <cp:lastModifiedBy>1</cp:lastModifiedBy>
  <cp:lastPrinted>2021-12-27T05:06:00Z</cp:lastPrinted>
  <dcterms:modified xsi:type="dcterms:W3CDTF">2022-11-02T11:29:00Z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