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АКСАКОВСКИЙ СЕЛЬСОВЕТ БУГУРУСЛАНСКОГО РАЙОНА ОРЕНБУРГСКОЙ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852" w:hanging="0"/>
        <w:jc w:val="center"/>
        <w:rPr>
          <w:sz w:val="16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ind w:right="-852" w:hanging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-76200</wp:posOffset>
                </wp:positionH>
                <wp:positionV relativeFrom="paragraph">
                  <wp:posOffset>90805</wp:posOffset>
                </wp:positionV>
                <wp:extent cx="6310630" cy="1270"/>
                <wp:effectExtent l="31115" t="36195" r="31750" b="3048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0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pt,7.15pt" to="490.8pt,7.15pt" ID="Line 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right="-852" w:hanging="0"/>
        <w:rPr>
          <w:color w:val="008080"/>
          <w:sz w:val="24"/>
        </w:rPr>
      </w:pPr>
      <w:r>
        <w:rPr>
          <w:color w:val="008080"/>
          <w:sz w:val="24"/>
        </w:rPr>
      </w:r>
    </w:p>
    <w:p>
      <w:pPr>
        <w:pStyle w:val="Normal"/>
        <w:ind w:right="-1" w:hanging="0"/>
        <w:rPr>
          <w:sz w:val="28"/>
          <w:szCs w:val="28"/>
        </w:rPr>
      </w:pPr>
      <w:r>
        <w:rPr>
          <w:sz w:val="28"/>
          <w:szCs w:val="28"/>
        </w:rPr>
        <w:t>01.11.2022                                                                                                   № 85-п</w:t>
      </w:r>
    </w:p>
    <w:p>
      <w:pPr>
        <w:pStyle w:val="Normal"/>
        <w:ind w:right="-1" w:hanging="0"/>
        <w:rPr/>
      </w:pPr>
      <w:r>
        <w:rPr/>
      </w:r>
    </w:p>
    <w:tbl>
      <w:tblPr>
        <w:tblpPr w:bottomFromText="0" w:horzAnchor="margin" w:leftFromText="180" w:rightFromText="180" w:tblpX="0" w:tblpY="123" w:topFromText="0" w:vertAnchor="text"/>
        <w:tblW w:w="946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4"/>
      </w:tblGrid>
      <w:tr>
        <w:trPr>
          <w:trHeight w:val="389" w:hRule="atLeast"/>
        </w:trPr>
        <w:tc>
          <w:tcPr>
            <w:tcW w:w="9464" w:type="dxa"/>
            <w:tcBorders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 утверждении методики формирования бюджета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муниципального образования Аксаковский сельсовет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Бугурусланского района Оренбургской области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2023 год и на плановый период 2024 и 2025 годов</w:t>
            </w:r>
          </w:p>
        </w:tc>
      </w:tr>
    </w:tbl>
    <w:p>
      <w:pPr>
        <w:pStyle w:val="Normal"/>
        <w:tabs>
          <w:tab w:val="clear" w:pos="708"/>
          <w:tab w:val="left" w:pos="720" w:leader="none"/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целях подготовки проекта бюджета муниципального образования Аксаковский сельсовет Бугурусланского района Оренбургской</w:t>
      </w:r>
    </w:p>
    <w:p>
      <w:pPr>
        <w:pStyle w:val="ConsPlus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области на 2023 год и на плановый период 2024 и 2025 годов: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Утвердить   методику   формирования   бюджета   муниципального</w:t>
      </w:r>
    </w:p>
    <w:p>
      <w:pPr>
        <w:pStyle w:val="ConsPlus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образования Аксаковский сельсовет Бугурусланского района Оренбургской области на 2023 год и на плановый период 2024 и 2025 годов, согласно приложению к настоящему постановлению.</w:t>
      </w:r>
    </w:p>
    <w:p>
      <w:pPr>
        <w:pStyle w:val="ConsPlusNonformat"/>
        <w:widowControl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Контроль за исполнением настоящего постановления оставляю за</w:t>
      </w:r>
    </w:p>
    <w:p>
      <w:pPr>
        <w:pStyle w:val="ConsPlusNonformat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собой.</w:t>
      </w:r>
    </w:p>
    <w:p>
      <w:pPr>
        <w:pStyle w:val="ConsPlusNonformat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spacing w:lineRule="auto" w:line="216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Конаков </w:t>
      </w:r>
      <w:r>
        <w:rPr>
          <w:sz w:val="28"/>
          <w:szCs w:val="28"/>
        </w:rPr>
        <w:t>И.Н.</w:t>
      </w:r>
    </w:p>
    <w:tbl>
      <w:tblPr>
        <w:tblW w:w="22160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19"/>
        <w:gridCol w:w="2440"/>
        <w:gridCol w:w="2320"/>
        <w:gridCol w:w="2320"/>
        <w:gridCol w:w="6961"/>
      </w:tblGrid>
      <w:tr>
        <w:trPr>
          <w:trHeight w:val="1140" w:hRule="atLeast"/>
        </w:trPr>
        <w:tc>
          <w:tcPr>
            <w:tcW w:w="811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Разослано:  в  дело, администрацию района, счетную палату, прокуратуру.</w:t>
            </w:r>
          </w:p>
        </w:tc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23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23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696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</w:t>
            </w:r>
            <w:r>
              <w:rPr>
                <w:color w:val="000000"/>
                <w:sz w:val="32"/>
                <w:szCs w:val="32"/>
              </w:rPr>
              <w:t>Приложение                                                                      к постановлению администрации  сельсовета                                                                                                                         от 13.11.2015г.    № 24/4-п</w:t>
            </w:r>
          </w:p>
        </w:tc>
      </w:tr>
    </w:tbl>
    <w:p>
      <w:pPr>
        <w:pStyle w:val="Normal"/>
        <w:rPr/>
      </w:pPr>
      <w:r>
        <w:rPr/>
      </w:r>
      <w:bookmarkStart w:id="0" w:name="RANGE!A2%253AG107"/>
      <w:bookmarkStart w:id="1" w:name="RANGE!A2%253AG107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eastAsia="Calibri"/>
          <w:sz w:val="28"/>
          <w:szCs w:val="22"/>
        </w:rPr>
      </w:pPr>
      <w:r>
        <w:rPr/>
      </w:r>
    </w:p>
    <w:p>
      <w:pPr>
        <w:pStyle w:val="Normal"/>
        <w:jc w:val="right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Приложение</w:t>
      </w:r>
    </w:p>
    <w:p>
      <w:pPr>
        <w:pStyle w:val="Normal"/>
        <w:jc w:val="right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 </w:t>
      </w:r>
      <w:r>
        <w:rPr>
          <w:rFonts w:eastAsia="Calibri"/>
          <w:sz w:val="28"/>
          <w:szCs w:val="22"/>
        </w:rPr>
        <w:t xml:space="preserve">к постановлению администрации </w:t>
      </w:r>
    </w:p>
    <w:p>
      <w:pPr>
        <w:pStyle w:val="Normal"/>
        <w:jc w:val="right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Аксаковского сельсовета</w:t>
      </w:r>
    </w:p>
    <w:p>
      <w:pPr>
        <w:pStyle w:val="Normal"/>
        <w:jc w:val="right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Бугурусланского района</w:t>
      </w:r>
    </w:p>
    <w:p>
      <w:pPr>
        <w:pStyle w:val="Normal"/>
        <w:jc w:val="right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Оренбургской области</w:t>
      </w:r>
    </w:p>
    <w:p>
      <w:pPr>
        <w:pStyle w:val="Normal"/>
        <w:jc w:val="right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от 01.11.2022 № 85-п    </w:t>
      </w:r>
    </w:p>
    <w:p>
      <w:pPr>
        <w:pStyle w:val="Normal"/>
        <w:jc w:val="center"/>
        <w:rPr>
          <w:rFonts w:eastAsia="Calibri"/>
          <w:b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</w:r>
    </w:p>
    <w:p>
      <w:pPr>
        <w:pStyle w:val="Normal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Методика</w:t>
      </w:r>
    </w:p>
    <w:p>
      <w:pPr>
        <w:pStyle w:val="Normal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формирования бюджета муниципального образования Аксаковский сельсовет на 2023 год и на плановый период 2024 и 2025 годов</w:t>
      </w:r>
    </w:p>
    <w:p>
      <w:pPr>
        <w:pStyle w:val="Normal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</w:r>
    </w:p>
    <w:p>
      <w:pPr>
        <w:pStyle w:val="Normal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1.Настоящая методика устанавливает основные подходы к формированию доходов, порядок и методику планирования бюджетных ассигнований  бюджета муниципального образования «Аксаковский сельсовет» на 2023 год и на плановый период 2024 и 2025 годов.</w:t>
      </w:r>
    </w:p>
    <w:p>
      <w:pPr>
        <w:pStyle w:val="Normal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Методика включает в себя разделы, определяющие порядок прогнозирования доходов бюджета, методику расчета прогноза поступления налогов в бюджет муниципального образования «Аксаковский сельсовет», принимаемых при определении величины налогового потенциала муниципальных образований, а также порядок планирования бюджетных ассигнований местного бюджета.</w:t>
      </w:r>
    </w:p>
    <w:p>
      <w:pPr>
        <w:pStyle w:val="Normal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Основой составления бюджета муниципального образования на 2023–2025 годы является прогноз социально-экономического развития муниципального образования  на 2023 год и на плановый период 2024 и 2025 годов, основные направления бюджетной политики, налоговой политики и долговой политики на 2023 год и на плановый период 2024 и 2025 годов, а также приоритеты бюджетной и налоговой политики, установленные на федеральном уровне.</w:t>
      </w:r>
    </w:p>
    <w:p>
      <w:pPr>
        <w:pStyle w:val="Normal"/>
        <w:tabs>
          <w:tab w:val="clear" w:pos="708"/>
          <w:tab w:val="left" w:pos="1701" w:leader="none"/>
        </w:tabs>
        <w:ind w:firstLine="567"/>
        <w:rPr>
          <w:rFonts w:eastAsia="Calibri"/>
          <w:b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center"/>
        <w:rPr>
          <w:rFonts w:eastAsia="Calibri"/>
          <w:b/>
          <w:b/>
          <w:i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Прогноз доходов бюджета местного бюджета </w:t>
      </w:r>
    </w:p>
    <w:p>
      <w:pPr>
        <w:pStyle w:val="Normal"/>
        <w:widowControl w:val="false"/>
        <w:spacing w:lineRule="auto" w:line="259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Налоговые и неналоговые доходы, подлежащие зачислению в бюджет поселения, определены на основании сведений, представленных главными администраторами (администраторами) доходов, с учетом следующих особенностей.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5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</w:t>
      </w:r>
      <w:r>
        <w:rPr>
          <w:bCs/>
          <w:sz w:val="28"/>
          <w:szCs w:val="28"/>
          <w:lang w:eastAsia="en-US"/>
        </w:rPr>
        <w:t>1</w:t>
      </w:r>
      <w:r>
        <w:rPr/>
        <w:t xml:space="preserve"> </w:t>
      </w:r>
      <w:r>
        <w:rPr>
          <w:bCs/>
          <w:sz w:val="28"/>
          <w:szCs w:val="28"/>
          <w:lang w:eastAsia="en-US"/>
        </w:rPr>
        <w:t>Налог на доходы физических лиц прогнозируется к зачислению в                  бюджет поселения по нормативам на 2023 год, 2024 год и 2025 год –15 %, установленным в соответствии с Бюджетным кодексом Российской Федерации,  Законом Оренбургской области       «Об областном бюджете на 2023 год и на плановый период 2024 и 2025 годов».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5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</w:t>
      </w:r>
      <w:r>
        <w:rPr>
          <w:bCs/>
          <w:sz w:val="28"/>
          <w:szCs w:val="28"/>
          <w:lang w:eastAsia="en-US"/>
        </w:rPr>
        <w:t>Общий прогнозный объем поступлений в бюджет налога на доходы физических лиц (НДФЛ всего) определяется как сумма прогнозных поступлений каждого вида налога.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5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НДФЛ всего = НДФЛ1 + НДФЛ2 + НДФЛ3, где: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5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5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НДФЛ1 – объем поступлений налога на доходы физических лиц с                       доходов, источником которых является налоговый агент, за исключением        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5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5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5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5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НДФЛ1 = (((ФЗП - Нв) х C) - В х  + Ни), где: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5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ФЗП – прогнозируемый фонд заработной платы, тыс. рублей;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5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C – ставка налога, %; 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5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Нв – налоговые вычеты (имущественные, социальные и отдельные виды налоговых вычетов) за отчетный год, тыс. рублей (по данным отчета по форме № 5-НДФЛ за 2021 год);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5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 – сумма налога, подлежащая возврату по представленным налогоплательщиком декларациям (форма отчета 5-ДДК за 2021 год);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5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Ни – сумма налога от иных налоговых ставок (9%, 15%, 30%, 35%, иные налоговые ставки) (форма отчета 5-НДФЛ за 2021 год).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5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Прогнозный объем поступлений налога на доходы физических лиц с доходов, полученных физическими лицами в соответствии со статьей 228 Налогового кодекса Российской Федерации (НДФЛ3), рассчитывается исходя из фактического поступления налога за 1 полугодие текущего года и 2 полугодие 2021 года учетом темпа роста потребительских цен по следующей формуле: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5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НДФЛ3= (НДФЛо х Пд), где: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5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НДФЛо – ожидаемое поступление текущего года, тыс. рублей. При расчете поступлений на 2024 и 2025 года ожидаемое поступление предыдущего прогнозируемого года;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5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Пд – темп роста потребительских цен, %.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5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НДФЛо для прогнозирования на 2023 год рассчитывается по формуле: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5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НДФЛо = (НДФЛ2 пол * Пд) + НДФЛ1 пол, где: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5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НДФЛ1пол- фактическое поступление налога за 1 полугодие 2021 года;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5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НДФЛ2 пол - фактического поступления налога 2 полугодие 2022 года.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5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</w:t>
      </w:r>
      <w:r>
        <w:rPr>
          <w:rFonts w:eastAsia="Calibri"/>
          <w:sz w:val="28"/>
          <w:szCs w:val="22"/>
          <w:lang w:eastAsia="en-US"/>
        </w:rPr>
        <w:t>Пд – темп роста потребительских цен в 2022 году, %.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5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</w:t>
      </w:r>
      <w:r>
        <w:rPr>
          <w:rFonts w:eastAsia="Calibri"/>
          <w:sz w:val="28"/>
          <w:szCs w:val="22"/>
          <w:lang w:eastAsia="en-US"/>
        </w:rPr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лиц, и других льгот, и преференций.</w:t>
      </w:r>
    </w:p>
    <w:p>
      <w:pPr>
        <w:pStyle w:val="Normal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2. Расчет прогнозируемого объема поступлений единого сельскохозяйственного налога (ЕСХН)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показателей, а также по методу индексации с применением индекса производства продукции сельского хозяйства.</w:t>
      </w:r>
    </w:p>
    <w:p>
      <w:pPr>
        <w:pStyle w:val="Normal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Расчет производится по следующим формулам:</w:t>
      </w:r>
    </w:p>
    <w:p>
      <w:pPr>
        <w:pStyle w:val="Normal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ЕСХН = (Vнб x И – У) x S/100, где:</w:t>
      </w:r>
    </w:p>
    <w:p>
      <w:pPr>
        <w:pStyle w:val="Normal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ЕСХН – прогнозируемая сумма единого сельскохозяйственного налога, тыс. рублей;</w:t>
      </w:r>
    </w:p>
    <w:p>
      <w:pPr>
        <w:pStyle w:val="Normal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Vнб – налоговая база предыдущего периода, тыс. рублей (строка 030 от-чета № 5-ЕСХН);</w:t>
      </w:r>
    </w:p>
    <w:p>
      <w:pPr>
        <w:pStyle w:val="Normal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 – индекс-дефлятор продукции сельского хозяйства в хозяйствах всех категорий на соответствующий год (индекс производства продукции сельского хозяйства в хозяйствах всех категорий в процентах к предыдущему году в сопоставимых ценах), % (прогноз социально-экономического развития Бугурусланского района на очередной финансовый год и плановый период);</w:t>
      </w:r>
    </w:p>
    <w:p>
      <w:pPr>
        <w:pStyle w:val="Normal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У - сумма убытка, полученного в предыдущих налоговых периодах, уменьшающая налоговую базу за налоговый период, тыс. рублей (строка 040 отчета № 5-ЕСХН);</w:t>
      </w:r>
    </w:p>
    <w:p>
      <w:pPr>
        <w:pStyle w:val="Normal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S – ставка налога, % (глава 26.1 Налогового кодекса Российской Федерации).</w:t>
      </w:r>
    </w:p>
    <w:p>
      <w:pPr>
        <w:pStyle w:val="Normal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</w:t>
      </w:r>
      <w:r>
        <w:rPr>
          <w:rFonts w:eastAsia="Calibri"/>
          <w:sz w:val="28"/>
          <w:szCs w:val="22"/>
          <w:lang w:eastAsia="en-US"/>
        </w:rPr>
        <w:t>В прогнозируемом объеме налоговой базы по ЕСХН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и Оренбургской области о налогах и сборах и (или) иных нормативных правовых актов.</w:t>
      </w:r>
    </w:p>
    <w:p>
      <w:pPr>
        <w:pStyle w:val="Normal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</w:t>
      </w:r>
      <w:r>
        <w:rPr>
          <w:rFonts w:eastAsia="Calibri"/>
          <w:sz w:val="28"/>
          <w:szCs w:val="22"/>
          <w:lang w:eastAsia="en-US"/>
        </w:rPr>
        <w:t xml:space="preserve">Налог зачисляется в бюджет поселения по нормативу 50 %.                  </w:t>
      </w:r>
    </w:p>
    <w:p>
      <w:pPr>
        <w:pStyle w:val="Normal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</w:t>
      </w:r>
      <w:r>
        <w:rPr>
          <w:rFonts w:eastAsia="Calibri"/>
          <w:sz w:val="28"/>
          <w:szCs w:val="22"/>
          <w:lang w:eastAsia="en-US"/>
        </w:rPr>
        <w:t>3.  Расчет прогнозируемого объема поступлений налога на имущество физических лиц осуществляется по следующей формуле:</w:t>
      </w:r>
    </w:p>
    <w:p>
      <w:pPr>
        <w:pStyle w:val="Normal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Нимф = Нуп х Р/100 х Соб, где:</w:t>
      </w:r>
    </w:p>
    <w:p>
      <w:pPr>
        <w:pStyle w:val="Normal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Нуп – сумма налога, подлежащая уплате в бюджет (строка 3500 раздел 3 по отчету № 5-МН за прошлый год), тыс. рублей;</w:t>
      </w:r>
    </w:p>
    <w:p>
      <w:pPr>
        <w:pStyle w:val="Normal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 – прогнозируемый процент роста поступления налога по годам, %;</w:t>
      </w:r>
    </w:p>
    <w:p>
      <w:pPr>
        <w:pStyle w:val="Normal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Соб - расчетный уровень собираемости, % (средний за три предыдущих года).</w:t>
      </w:r>
    </w:p>
    <w:p>
      <w:pPr>
        <w:pStyle w:val="Normal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Расчетный уровень собираемости определяется как среднее за 3 предыдущих года значение от деления поступлений по отчету формы -0503117 на сумму начисленного налога по отчету № 5-МН (строка 3500 раздела 3), умноженное на 100 процентов.</w:t>
      </w:r>
    </w:p>
    <w:p>
      <w:pPr>
        <w:pStyle w:val="Normal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Налог зачисляется в бюджет поселения по нормативу 100 %.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Земельный налог, взимаемый по ставкам, установленным в соответствии с подпунктом 1 пункта 1 статьи 394 Налогового кодекса Российской Федерации, рассчитывается по следующей формуле: 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ЗН = КС х С, где: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ЗН – земельный налог;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КС – кадастровая стоимость земельных участков, признаваемых объектом налогообложения, (по данным МИФНС №3 по Оренбургской области по состоянию на 1 января 2022 года);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– ставка, установленная решением Совета депутатов. 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расчете прогнозного объема поступлений земельного налога, взимаемого по ставкам, установленным в соответствии с подпунктом 1 пункта 1 статьи учитываются выпадающие доходы в связи с предоставлением льгот, освобождений и преференций, установленных в рамках главы 31 Налогового кодекса Российской Федерации, и других льгот и преференций.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ЗН = КС х С, где: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ЗН – земельный налог;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КС – кадастровая стоимость земельных участков, признаваемых объектом налогообложения, (по данным МИФНС №3 по Оренбургской области по состоянию на 1 января 2022 года);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– ставка, установленная решением Совета депутатов.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Прогнозирование налога на 2024-2025 годы на уровне 2023 года.</w:t>
      </w:r>
    </w:p>
    <w:p>
      <w:pPr>
        <w:pStyle w:val="Normal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расчете прогнозного объема поступлений земельного налога по ставкам, установленным в соответствии с подпунктом 2 пункта 1 статьи 394 Нало</w:t>
      </w:r>
      <w:bookmarkStart w:id="2" w:name="_GoBack"/>
      <w:bookmarkEnd w:id="2"/>
      <w:r>
        <w:rPr>
          <w:rFonts w:eastAsia="Calibri"/>
          <w:sz w:val="28"/>
          <w:szCs w:val="28"/>
          <w:lang w:eastAsia="en-US"/>
        </w:rPr>
        <w:t>гового кодекса Российской Федерации учитываются выпадающие доходы в связи с предоставлением льгот, освобождений и преференций, установленных в рамках главы 31 Налогового кодекса Российской Федерации, и других льгот и преференций.</w:t>
      </w:r>
      <w:r>
        <w:rPr>
          <w:rFonts w:eastAsia="Calibri"/>
          <w:sz w:val="28"/>
          <w:szCs w:val="22"/>
          <w:lang w:eastAsia="en-US"/>
        </w:rPr>
        <w:t xml:space="preserve"> </w:t>
      </w:r>
    </w:p>
    <w:p>
      <w:pPr>
        <w:pStyle w:val="Normal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6. </w:t>
      </w:r>
      <w:r>
        <w:rPr>
          <w:rFonts w:eastAsia="Calibri"/>
          <w:bCs/>
          <w:sz w:val="28"/>
          <w:szCs w:val="22"/>
          <w:lang w:eastAsia="en-US"/>
        </w:rPr>
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заключенными актами Российской Федерации на совершение нотариальных действий </w:t>
      </w:r>
      <w:r>
        <w:rPr>
          <w:rFonts w:eastAsia="Calibri"/>
          <w:sz w:val="28"/>
          <w:szCs w:val="22"/>
          <w:lang w:eastAsia="en-US"/>
        </w:rPr>
        <w:t xml:space="preserve"> определяется по данным главного администратора доходов – администрации Аксаковского сельсовета.</w:t>
      </w:r>
    </w:p>
    <w:p>
      <w:pPr>
        <w:pStyle w:val="Normal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Арендная плата за земли, находящиеся в собственности сельских поселений определяется по данным главного администратора доходов – администрации Аксаковского сельсовета.</w:t>
      </w:r>
    </w:p>
    <w:p>
      <w:pPr>
        <w:pStyle w:val="Normal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8.</w:t>
      </w:r>
      <w:r>
        <w:rPr>
          <w:rFonts w:eastAsia="Calibri"/>
          <w:sz w:val="28"/>
          <w:szCs w:val="28"/>
        </w:rPr>
        <w:t xml:space="preserve"> Расчет поступлений</w:t>
      </w:r>
      <w:r>
        <w:rPr>
          <w:rFonts w:eastAsia="Calibri"/>
          <w:bCs/>
          <w:sz w:val="28"/>
          <w:szCs w:val="28"/>
        </w:rPr>
        <w:t xml:space="preserve"> по прочим доходам от компенсации затрат  бюджетов сельских поселений прогнозируется по данным главного администратора доходов Администрации Аксаковского сельсовета.</w:t>
      </w:r>
    </w:p>
    <w:p>
      <w:pPr>
        <w:pStyle w:val="Normal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</w:r>
    </w:p>
    <w:p>
      <w:pPr>
        <w:pStyle w:val="Normal"/>
        <w:ind w:firstLine="567"/>
        <w:jc w:val="both"/>
        <w:rPr>
          <w:rFonts w:eastAsia="Calibri"/>
          <w:b/>
          <w:b/>
          <w:bCs/>
          <w:i/>
          <w:i/>
          <w:sz w:val="28"/>
          <w:szCs w:val="22"/>
          <w:lang w:eastAsia="en-US"/>
        </w:rPr>
      </w:pPr>
      <w:r>
        <w:rPr>
          <w:rFonts w:eastAsia="Calibri"/>
          <w:b/>
          <w:bCs/>
          <w:i/>
          <w:sz w:val="28"/>
          <w:szCs w:val="22"/>
          <w:lang w:val="en-US" w:eastAsia="en-US"/>
        </w:rPr>
        <w:t>II</w:t>
      </w:r>
      <w:r>
        <w:rPr>
          <w:rFonts w:eastAsia="Calibri"/>
          <w:b/>
          <w:bCs/>
          <w:i/>
          <w:sz w:val="28"/>
          <w:szCs w:val="22"/>
          <w:lang w:eastAsia="en-US"/>
        </w:rPr>
        <w:t>. Планирование бюджетных ассигнований местного бюджета</w:t>
      </w:r>
    </w:p>
    <w:p>
      <w:pPr>
        <w:pStyle w:val="Normal"/>
        <w:ind w:firstLine="851"/>
        <w:jc w:val="both"/>
        <w:rPr>
          <w:rFonts w:eastAsia="Calibri"/>
          <w:color w:val="000000"/>
          <w:sz w:val="28"/>
          <w:szCs w:val="22"/>
          <w:lang w:eastAsia="en-US"/>
        </w:rPr>
      </w:pPr>
      <w:r>
        <w:rPr>
          <w:rFonts w:eastAsia="Calibri"/>
          <w:color w:val="000000"/>
          <w:sz w:val="28"/>
          <w:szCs w:val="22"/>
          <w:lang w:eastAsia="en-US"/>
        </w:rPr>
        <w:t>1. Планирование бюджетных ассигнований производится в соответствии с расходными обязательствами муниципального образования «Аксаковский сельсовет», исполнение которых осуществляется за счет средств местного бюджета.</w:t>
      </w:r>
    </w:p>
    <w:p>
      <w:pPr>
        <w:pStyle w:val="Normal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состав бюджетных ассигнований на исполнение действующих расходных обязательств муниципального образования «</w:t>
      </w:r>
      <w:r>
        <w:rPr>
          <w:rFonts w:eastAsia="Calibri"/>
          <w:color w:val="000000"/>
          <w:sz w:val="28"/>
          <w:szCs w:val="22"/>
          <w:lang w:eastAsia="en-US"/>
        </w:rPr>
        <w:t>Аксаковский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сельсовет» включаются бюджетные ассигнования по перечню расходных обязательств муниципального образования «</w:t>
      </w:r>
      <w:r>
        <w:rPr>
          <w:rFonts w:eastAsia="Calibri"/>
          <w:color w:val="000000"/>
          <w:sz w:val="28"/>
          <w:szCs w:val="22"/>
          <w:lang w:eastAsia="en-US"/>
        </w:rPr>
        <w:t>Аксаковский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сельсовет», обусловленных действующими нормативными правовыми актами, договорами (соглашениями), за исключением норм, действие которых истекает, приостановлено или предлагается (планируется) к приостановлению, признанию утратившими силу в 2023-2025 годах.</w:t>
      </w:r>
      <w:bookmarkStart w:id="3" w:name="Par526"/>
      <w:bookmarkEnd w:id="3"/>
      <w:r>
        <w:rPr>
          <w:rFonts w:eastAsia="Calibri"/>
          <w:color w:val="000000"/>
          <w:sz w:val="28"/>
          <w:szCs w:val="22"/>
          <w:lang w:eastAsia="en-US"/>
        </w:rPr>
        <w:t xml:space="preserve"> При этом объем бюджетных ассигнований на исполнение действующих расходных обязательств МО «Аксаковский сельсовет» может рассчитываться с учетом индексации (изменения), если это предусмотрено </w:t>
      </w:r>
      <w:r>
        <w:rPr>
          <w:rFonts w:eastAsia="Calibri"/>
          <w:color w:val="000000"/>
          <w:sz w:val="28"/>
          <w:szCs w:val="28"/>
          <w:lang w:eastAsia="en-US"/>
        </w:rPr>
        <w:t>данными нормативными правовыми актами, договорами (соглашениями).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color w:val="000000"/>
          <w:sz w:val="28"/>
          <w:szCs w:val="22"/>
          <w:lang w:eastAsia="en-US"/>
        </w:rPr>
        <w:t xml:space="preserve">             </w:t>
      </w:r>
      <w:r>
        <w:rPr>
          <w:rFonts w:eastAsia="Calibri"/>
          <w:color w:val="000000"/>
          <w:sz w:val="28"/>
          <w:szCs w:val="22"/>
          <w:lang w:eastAsia="en-US"/>
        </w:rPr>
        <w:t>2. Предельные объемы</w:t>
      </w:r>
      <w:r>
        <w:rPr>
          <w:rFonts w:eastAsia="Calibri"/>
          <w:bCs/>
          <w:sz w:val="28"/>
          <w:szCs w:val="22"/>
          <w:lang w:eastAsia="en-US"/>
        </w:rPr>
        <w:t xml:space="preserve"> бюджетных ассигнований </w:t>
      </w:r>
      <w:r>
        <w:rPr>
          <w:rFonts w:eastAsia="Calibri"/>
          <w:color w:val="000000"/>
          <w:sz w:val="28"/>
          <w:szCs w:val="22"/>
          <w:lang w:eastAsia="en-US"/>
        </w:rPr>
        <w:t xml:space="preserve">на исполнение расходных обязательств муниципального образования «Аксаковский сельсовет» </w:t>
      </w:r>
      <w:r>
        <w:rPr>
          <w:rFonts w:eastAsia="Calibri"/>
          <w:bCs/>
          <w:sz w:val="28"/>
          <w:szCs w:val="22"/>
          <w:lang w:eastAsia="en-US"/>
        </w:rPr>
        <w:t xml:space="preserve"> определяются исходя из объемов бюджетных ассигнований, утвержденных решением Совета депутатов муниципального образования </w:t>
      </w:r>
      <w:r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color w:val="000000"/>
          <w:sz w:val="28"/>
          <w:szCs w:val="22"/>
          <w:lang w:eastAsia="en-US"/>
        </w:rPr>
        <w:t xml:space="preserve">«Аксаковский сельсовет» </w:t>
      </w:r>
      <w:r>
        <w:rPr>
          <w:rFonts w:eastAsia="Calibri"/>
          <w:bCs/>
          <w:sz w:val="28"/>
          <w:szCs w:val="22"/>
          <w:lang w:eastAsia="en-US"/>
        </w:rPr>
        <w:t xml:space="preserve">«О бюджете  </w:t>
      </w:r>
      <w:r>
        <w:rPr>
          <w:rFonts w:eastAsia="Calibri"/>
          <w:color w:val="000000"/>
          <w:sz w:val="28"/>
          <w:szCs w:val="22"/>
          <w:lang w:eastAsia="en-US"/>
        </w:rPr>
        <w:t xml:space="preserve">муниципального образования «Аксаковский сельсовет» </w:t>
      </w:r>
      <w:r>
        <w:rPr>
          <w:rFonts w:eastAsia="Calibri"/>
          <w:bCs/>
          <w:sz w:val="28"/>
          <w:szCs w:val="22"/>
          <w:lang w:eastAsia="en-US"/>
        </w:rPr>
        <w:t xml:space="preserve">на 2023 год </w:t>
      </w:r>
      <w:r>
        <w:rPr>
          <w:rFonts w:eastAsia="Calibri"/>
          <w:sz w:val="28"/>
          <w:szCs w:val="22"/>
          <w:lang w:eastAsia="en-US"/>
        </w:rPr>
        <w:t>и плановый период  2024 и 2025 годов</w:t>
      </w:r>
      <w:r>
        <w:rPr>
          <w:rFonts w:eastAsia="Calibri"/>
          <w:bCs/>
          <w:sz w:val="28"/>
          <w:szCs w:val="22"/>
          <w:lang w:eastAsia="en-US"/>
        </w:rPr>
        <w:t xml:space="preserve">». </w:t>
      </w:r>
    </w:p>
    <w:p>
      <w:pPr>
        <w:pStyle w:val="Normal"/>
        <w:ind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3. В предельных объемах бюджетных ассигнований учтены расходы, планируемые к реализации за счет средств областного бюджета.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701" w:leader="none"/>
        </w:tabs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            </w:t>
      </w:r>
      <w:r>
        <w:rPr>
          <w:rFonts w:eastAsia="Calibri"/>
          <w:bCs/>
          <w:sz w:val="28"/>
          <w:szCs w:val="22"/>
          <w:lang w:eastAsia="en-US"/>
        </w:rPr>
        <w:t xml:space="preserve">4. Бюджет муниципального образования </w:t>
      </w:r>
      <w:r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color w:val="000000"/>
          <w:sz w:val="28"/>
          <w:szCs w:val="22"/>
          <w:lang w:eastAsia="en-US"/>
        </w:rPr>
        <w:t>«Аксаковский сельсовет»</w:t>
      </w:r>
      <w:r>
        <w:rPr>
          <w:rFonts w:eastAsia="Calibri"/>
          <w:bCs/>
          <w:sz w:val="28"/>
          <w:szCs w:val="22"/>
          <w:lang w:eastAsia="en-US"/>
        </w:rPr>
        <w:t xml:space="preserve"> на 2023 год </w:t>
      </w:r>
      <w:r>
        <w:rPr>
          <w:rFonts w:eastAsia="Calibri"/>
          <w:sz w:val="28"/>
          <w:szCs w:val="22"/>
          <w:lang w:eastAsia="en-US"/>
        </w:rPr>
        <w:t xml:space="preserve">и плановый период 2024 и 2025 годов </w:t>
      </w:r>
      <w:r>
        <w:rPr>
          <w:rFonts w:eastAsia="Calibri"/>
          <w:bCs/>
          <w:sz w:val="28"/>
          <w:szCs w:val="22"/>
          <w:lang w:eastAsia="en-US"/>
        </w:rPr>
        <w:t xml:space="preserve">формируется на основе муниципальных программ муниципального образования </w:t>
      </w:r>
      <w:r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color w:val="000000"/>
          <w:sz w:val="28"/>
          <w:szCs w:val="22"/>
          <w:lang w:eastAsia="en-US"/>
        </w:rPr>
        <w:t>«Аксаковский сельсовет»</w:t>
      </w:r>
      <w:r>
        <w:rPr>
          <w:rFonts w:eastAsia="Calibri"/>
          <w:bCs/>
          <w:sz w:val="28"/>
          <w:szCs w:val="22"/>
          <w:lang w:eastAsia="en-US"/>
        </w:rPr>
        <w:t>. Распределение бюджетных ассигнований формируется по муниципальным программам (подпрограммам), разделам, подразделам и видам расходов (группам).</w:t>
      </w:r>
    </w:p>
    <w:p>
      <w:pPr>
        <w:pStyle w:val="Normal"/>
        <w:ind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Расходы на реализацию мероприятий, включенных в муниципальные программы</w:t>
      </w:r>
      <w:r>
        <w:rPr>
          <w:rFonts w:eastAsia="Calibri"/>
          <w:sz w:val="28"/>
          <w:szCs w:val="22"/>
          <w:lang w:eastAsia="en-US"/>
        </w:rPr>
        <w:t xml:space="preserve">, </w:t>
      </w:r>
      <w:r>
        <w:rPr>
          <w:rFonts w:eastAsia="Calibri"/>
          <w:color w:val="000000"/>
          <w:sz w:val="28"/>
          <w:szCs w:val="22"/>
          <w:lang w:eastAsia="en-US"/>
        </w:rPr>
        <w:t>муниципального образования «Аксаковский сельсовет»</w:t>
      </w:r>
      <w:r>
        <w:rPr>
          <w:rFonts w:eastAsia="Calibri"/>
          <w:sz w:val="28"/>
          <w:szCs w:val="22"/>
          <w:lang w:eastAsia="en-US"/>
        </w:rPr>
        <w:t xml:space="preserve"> определяются с учетом предельных объемов бюджетных ассигнований,  и необходимостью достижения целевых показателей установленных муниципальными программами. </w:t>
      </w:r>
    </w:p>
    <w:p>
      <w:pPr>
        <w:pStyle w:val="Normal"/>
        <w:ind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Объемы бюджетных ассигнований на реализацию мероприятий муниципальных программ планируются с учетом предполагаемых изменений в муниципальные программы, направленных на достижение значений индикативных показателей.</w:t>
      </w:r>
    </w:p>
    <w:p>
      <w:pPr>
        <w:pStyle w:val="Normal"/>
        <w:ind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Непрограммные расходы планируются исходя из обеспечения расходных обязательств </w:t>
      </w:r>
      <w:r>
        <w:rPr>
          <w:rFonts w:eastAsia="Calibri"/>
          <w:color w:val="000000"/>
          <w:sz w:val="28"/>
          <w:szCs w:val="22"/>
          <w:lang w:eastAsia="en-US"/>
        </w:rPr>
        <w:t>муниципального образования «Аксаковский сельсовет»</w:t>
      </w:r>
      <w:r>
        <w:rPr>
          <w:rFonts w:eastAsia="Calibri"/>
          <w:sz w:val="28"/>
          <w:szCs w:val="22"/>
          <w:lang w:eastAsia="en-US"/>
        </w:rPr>
        <w:t>, приоритетов развития и необходимости достижения результатов деятельности.</w:t>
      </w:r>
    </w:p>
    <w:p>
      <w:pPr>
        <w:pStyle w:val="Normal"/>
        <w:ind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5. Основными направлениями оптимизации расходов местного бюджета является сокращение расходов местного бюджета на закупку товаров, работ и услуг для муниципальных нужд, капитальных вложений в объекты муниципальной собственности.</w:t>
      </w:r>
    </w:p>
    <w:p>
      <w:pPr>
        <w:pStyle w:val="Normal"/>
        <w:tabs>
          <w:tab w:val="clear" w:pos="708"/>
          <w:tab w:val="left" w:pos="1701" w:leader="none"/>
        </w:tabs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color w:val="000000"/>
          <w:sz w:val="28"/>
          <w:szCs w:val="22"/>
          <w:lang w:eastAsia="en-US"/>
        </w:rPr>
        <w:t xml:space="preserve">         </w:t>
      </w:r>
      <w:r>
        <w:rPr>
          <w:rFonts w:eastAsia="Calibri"/>
          <w:color w:val="000000"/>
          <w:sz w:val="28"/>
          <w:szCs w:val="22"/>
          <w:lang w:eastAsia="en-US"/>
        </w:rPr>
        <w:t xml:space="preserve">6. Предельные объемы бюджетных ассигнований на исполнение расходных обязательств  муниципального образования «Аксаковский сельсовет» на 2023 год </w:t>
      </w:r>
      <w:r>
        <w:rPr>
          <w:rFonts w:eastAsia="Calibri"/>
          <w:sz w:val="28"/>
          <w:szCs w:val="22"/>
          <w:lang w:eastAsia="en-US"/>
        </w:rPr>
        <w:t xml:space="preserve">и плановый период 2024 и 2025 годов </w:t>
      </w:r>
      <w:r>
        <w:rPr>
          <w:rFonts w:eastAsia="Calibri"/>
          <w:color w:val="000000"/>
          <w:sz w:val="28"/>
          <w:szCs w:val="22"/>
          <w:lang w:eastAsia="en-US"/>
        </w:rPr>
        <w:t>определяется исходя из единых для всех субъектов бюджетного планирования подходов к формированию расходов бюджета органов местного самоуправления с учетом следующих особенностей:</w:t>
      </w:r>
    </w:p>
    <w:p>
      <w:pPr>
        <w:pStyle w:val="Normal"/>
        <w:ind w:firstLine="851"/>
        <w:jc w:val="both"/>
        <w:rPr>
          <w:rFonts w:eastAsia="Calibri"/>
          <w:color w:val="000000"/>
          <w:sz w:val="28"/>
          <w:szCs w:val="22"/>
          <w:lang w:eastAsia="en-US"/>
        </w:rPr>
      </w:pPr>
      <w:r>
        <w:rPr>
          <w:rFonts w:eastAsia="Calibri"/>
          <w:color w:val="000000"/>
          <w:sz w:val="28"/>
          <w:szCs w:val="22"/>
          <w:lang w:eastAsia="en-US"/>
        </w:rPr>
      </w:r>
    </w:p>
    <w:tbl>
      <w:tblPr>
        <w:tblW w:w="9356" w:type="dxa"/>
        <w:jc w:val="left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690"/>
        <w:gridCol w:w="5665"/>
      </w:tblGrid>
      <w:tr>
        <w:trPr>
          <w:tblHeader w:val="true"/>
          <w:trHeight w:val="489" w:hRule="atLeast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Направление расходов  бюджета </w:t>
            </w:r>
            <w:r>
              <w:rPr>
                <w:rFonts w:eastAsia="Calibri"/>
                <w:color w:val="000000"/>
                <w:sz w:val="28"/>
                <w:szCs w:val="22"/>
                <w:lang w:eastAsia="en-US"/>
              </w:rPr>
              <w:t>муниципального образования «Аксаковский сельсовет»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Формирование расходов бюджета </w:t>
            </w:r>
            <w:r>
              <w:rPr>
                <w:rFonts w:eastAsia="Calibri"/>
                <w:color w:val="000000"/>
                <w:sz w:val="28"/>
                <w:szCs w:val="22"/>
                <w:lang w:eastAsia="en-US"/>
              </w:rPr>
              <w:t>муниципального образования «Аксаковский сельсовет»</w:t>
            </w:r>
          </w:p>
        </w:tc>
      </w:tr>
    </w:tbl>
    <w:p>
      <w:pPr>
        <w:pStyle w:val="Normal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</w:r>
    </w:p>
    <w:tbl>
      <w:tblPr>
        <w:tblW w:w="9356" w:type="dxa"/>
        <w:jc w:val="left"/>
        <w:tblInd w:w="119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firstRow="0" w:noVBand="0" w:lastRow="0" w:firstColumn="0" w:lastColumn="0" w:noHBand="0" w:val="0000"/>
      </w:tblPr>
      <w:tblGrid>
        <w:gridCol w:w="3735"/>
        <w:gridCol w:w="5620"/>
      </w:tblGrid>
      <w:tr>
        <w:trPr>
          <w:trHeight w:val="20" w:hRule="atLeast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Оплата труда работников органов местного самоуправления Аксаковского сельсовета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221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Расходы на оплату труда работников органов местного самоуправления 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 xml:space="preserve">рассчитаны исходя из предельной численности работников органов местного самоуправления, с учетом фактических выплат, производимых на основании нормативных правовых </w:t>
            </w:r>
            <w:r>
              <w:rPr>
                <w:rFonts w:eastAsia="Calibri"/>
                <w:sz w:val="28"/>
                <w:szCs w:val="22"/>
                <w:lang w:eastAsia="en-US"/>
              </w:rPr>
              <w:t>органов местного самоуправления, а также рассчитываются  исходя из доведенного норматива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условий оплаты труда, установленных  нормативно-правовыми актами.</w:t>
            </w:r>
          </w:p>
        </w:tc>
      </w:tr>
      <w:tr>
        <w:trPr>
          <w:trHeight w:val="20" w:hRule="atLeast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Прочие Межбюджетные трансферты бюджетам муниципальных районов из бюджета поселений на осуществление части полномочий по решению вопросов местного значения.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Расходы планируются в соответствии с </w:t>
            </w:r>
            <w:hyperlink r:id="rId2">
              <w:r>
                <w:rPr>
                  <w:rFonts w:eastAsia="Calibri"/>
                  <w:sz w:val="28"/>
                  <w:szCs w:val="22"/>
                  <w:lang w:eastAsia="en-US"/>
                </w:rPr>
                <w:t>Законом</w:t>
              </w:r>
            </w:hyperlink>
            <w:r>
              <w:rPr>
                <w:rFonts w:eastAsia="Calibri"/>
                <w:sz w:val="28"/>
                <w:szCs w:val="22"/>
                <w:lang w:eastAsia="en-US"/>
              </w:rPr>
              <w:t xml:space="preserve"> Оренбургской области «О межбюджетных отношениях в Оренбургской области», муниципальными программами и нормативными правовыми актами администрации муниципального образования Бугурусланский район, устанавливающими методики (правила) распределения, порядка и условия предоставления  иных межбюджетных трансфертов, нормативно правовыми актами </w:t>
            </w:r>
            <w:r>
              <w:rPr>
                <w:rFonts w:eastAsia="Calibri"/>
                <w:color w:val="000000"/>
                <w:sz w:val="28"/>
                <w:szCs w:val="22"/>
                <w:lang w:eastAsia="en-US"/>
              </w:rPr>
              <w:t>муниципального образования «Аксаковский сельсовет» и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в соответствии с заключенными соглашениями.</w:t>
            </w:r>
          </w:p>
        </w:tc>
      </w:tr>
    </w:tbl>
    <w:p>
      <w:pPr>
        <w:pStyle w:val="Normal"/>
        <w:ind w:hanging="0"/>
        <w:jc w:val="both"/>
        <w:rPr>
          <w:rFonts w:eastAsia="Calibri"/>
          <w:bCs/>
          <w:color w:val="000000"/>
          <w:sz w:val="28"/>
          <w:szCs w:val="22"/>
          <w:lang w:eastAsia="en-US"/>
        </w:rPr>
      </w:pPr>
      <w:r>
        <w:rPr>
          <w:rFonts w:eastAsia="Calibri"/>
          <w:bCs/>
          <w:color w:val="000000"/>
          <w:sz w:val="28"/>
          <w:szCs w:val="22"/>
          <w:lang w:eastAsia="en-US"/>
        </w:rPr>
      </w:r>
    </w:p>
    <w:p>
      <w:pPr>
        <w:pStyle w:val="Normal"/>
        <w:ind w:firstLine="851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color w:val="000000"/>
          <w:sz w:val="28"/>
          <w:szCs w:val="22"/>
          <w:lang w:eastAsia="en-US"/>
        </w:rPr>
        <w:t xml:space="preserve">7. </w:t>
      </w:r>
      <w:r>
        <w:rPr>
          <w:rFonts w:eastAsia="Calibri"/>
          <w:bCs/>
          <w:sz w:val="28"/>
          <w:szCs w:val="22"/>
          <w:lang w:eastAsia="en-US"/>
        </w:rPr>
        <w:t xml:space="preserve">Общий объем расходов бюджета </w:t>
      </w:r>
      <w:r>
        <w:rPr>
          <w:rFonts w:eastAsia="Calibri"/>
          <w:color w:val="000000"/>
          <w:sz w:val="28"/>
          <w:szCs w:val="22"/>
          <w:lang w:eastAsia="en-US"/>
        </w:rPr>
        <w:t>Аксаковский</w:t>
      </w:r>
      <w:r>
        <w:rPr>
          <w:rFonts w:eastAsia="Calibri"/>
          <w:bCs/>
          <w:sz w:val="28"/>
          <w:szCs w:val="22"/>
          <w:lang w:eastAsia="en-US"/>
        </w:rPr>
        <w:t xml:space="preserve"> сельсовета на 2023 год и плановый период 2024 и 2025 годов формируется с учетом прогнозируемых темпов роста экономики  области, района и муниципального образования</w:t>
      </w:r>
      <w:r>
        <w:rPr>
          <w:rFonts w:eastAsia="Calibri"/>
          <w:bCs/>
          <w:color w:val="000000"/>
          <w:sz w:val="28"/>
          <w:szCs w:val="22"/>
          <w:lang w:eastAsia="en-US"/>
        </w:rPr>
        <w:t xml:space="preserve">. Дефицит бюджета на </w:t>
      </w:r>
      <w:r>
        <w:rPr>
          <w:rFonts w:eastAsia="Calibri"/>
          <w:bCs/>
          <w:sz w:val="28"/>
          <w:szCs w:val="22"/>
          <w:lang w:eastAsia="en-US"/>
        </w:rPr>
        <w:t>2023 год и плановый период 2024 и 2025 годов не предусматривается.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24e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4">
    <w:name w:val="Heading 4"/>
    <w:basedOn w:val="Normal"/>
    <w:next w:val="Normal"/>
    <w:qFormat/>
    <w:rsid w:val="004624e7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semiHidden/>
    <w:unhideWhenUsed/>
    <w:qFormat/>
    <w:rsid w:val="00073af9"/>
    <w:pPr>
      <w:keepNext w:val="true"/>
      <w:keepLines/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(3)_"/>
    <w:link w:val="30"/>
    <w:qFormat/>
    <w:rsid w:val="004624e7"/>
    <w:rPr>
      <w:b/>
      <w:bCs/>
      <w:sz w:val="28"/>
      <w:szCs w:val="28"/>
      <w:lang w:bidi="ar-SA"/>
    </w:rPr>
  </w:style>
  <w:style w:type="character" w:styleId="Style12" w:customStyle="1">
    <w:name w:val="Текст выноски Знак"/>
    <w:link w:val="a4"/>
    <w:qFormat/>
    <w:rsid w:val="00e7101d"/>
    <w:rPr>
      <w:rFonts w:ascii="Segoe UI" w:hAnsi="Segoe UI" w:cs="Segoe UI"/>
      <w:sz w:val="18"/>
      <w:szCs w:val="18"/>
    </w:rPr>
  </w:style>
  <w:style w:type="character" w:styleId="Exact2" w:customStyle="1">
    <w:name w:val="Основной текст Exact2"/>
    <w:qFormat/>
    <w:rsid w:val="008a3c40"/>
    <w:rPr>
      <w:color w:val="000000"/>
      <w:spacing w:val="7"/>
      <w:w w:val="100"/>
      <w:sz w:val="23"/>
      <w:szCs w:val="23"/>
      <w:lang w:bidi="ar-SA"/>
    </w:rPr>
  </w:style>
  <w:style w:type="character" w:styleId="Style13" w:customStyle="1">
    <w:name w:val="Основной текст Знак"/>
    <w:link w:val="a7"/>
    <w:qFormat/>
    <w:rsid w:val="008a3c40"/>
    <w:rPr>
      <w:sz w:val="25"/>
      <w:szCs w:val="25"/>
      <w:lang w:bidi="ar-SA"/>
    </w:rPr>
  </w:style>
  <w:style w:type="character" w:styleId="61" w:customStyle="1">
    <w:name w:val="Заголовок 6 Знак"/>
    <w:basedOn w:val="DefaultParagraphFont"/>
    <w:link w:val="6"/>
    <w:semiHidden/>
    <w:qFormat/>
    <w:rsid w:val="00073af9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6"/>
    <w:rsid w:val="008a3c40"/>
    <w:pPr>
      <w:widowControl w:val="false"/>
      <w:shd w:val="clear" w:color="auto" w:fill="FFFFFF"/>
      <w:spacing w:lineRule="exact" w:line="322"/>
      <w:ind w:hanging="1220"/>
      <w:jc w:val="both"/>
    </w:pPr>
    <w:rPr>
      <w:sz w:val="25"/>
      <w:szCs w:val="25"/>
    </w:rPr>
  </w:style>
  <w:style w:type="paragraph" w:styleId="Style17">
    <w:name w:val="List"/>
    <w:basedOn w:val="Style16"/>
    <w:pPr>
      <w:shd w:val="clear" w:fill="FFFFFF"/>
    </w:pPr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Основной текст (3)"/>
    <w:basedOn w:val="Normal"/>
    <w:link w:val="3"/>
    <w:qFormat/>
    <w:rsid w:val="004624e7"/>
    <w:pPr>
      <w:widowControl w:val="false"/>
      <w:shd w:val="clear" w:color="auto" w:fill="FFFFFF"/>
      <w:spacing w:lineRule="atLeast" w:line="0" w:before="0" w:after="420"/>
      <w:jc w:val="right"/>
    </w:pPr>
    <w:rPr>
      <w:b/>
      <w:bCs/>
      <w:sz w:val="28"/>
      <w:szCs w:val="28"/>
    </w:rPr>
  </w:style>
  <w:style w:type="paragraph" w:styleId="NoSpacing">
    <w:name w:val="No Spacing"/>
    <w:uiPriority w:val="1"/>
    <w:qFormat/>
    <w:rsid w:val="00e7101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5"/>
    <w:qFormat/>
    <w:rsid w:val="00e7101d"/>
    <w:pPr/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073af9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073af9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BBEA4E77F44CB87B42C4ABBCA87F3B5DDCFAD7EEEF4082FEAD1B3D65937D866m933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LibreOffice/7.0.1.2$Windows_X86_64 LibreOffice_project/7cbcfc562f6eb6708b5ff7d7397325de9e764452</Application>
  <Pages>8</Pages>
  <Words>1934</Words>
  <Characters>13580</Characters>
  <CharactersWithSpaces>16127</CharactersWithSpaces>
  <Paragraphs>106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2022-11-02T07:10:00Z</dcterms:created>
  <dc:creator>Admin</dc:creator>
  <dc:description/>
  <dc:language>ru-RU</dc:language>
  <cp:lastModifiedBy/>
  <cp:lastPrinted>2022-11-15T11:13:43Z</cp:lastPrinted>
  <dcterms:modified xsi:type="dcterms:W3CDTF">2022-11-15T11:14:03Z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