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Style21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>
      <w:pPr>
        <w:pStyle w:val="Style21"/>
        <w:ind w:firstLine="540"/>
        <w:rPr>
          <w:caps/>
        </w:rPr>
      </w:pPr>
      <w:r>
        <w:rPr>
          <w:caps/>
        </w:rPr>
        <w:t>АКСАКОВСКИЙ сельсовет</w:t>
      </w:r>
    </w:p>
    <w:p>
      <w:pPr>
        <w:pStyle w:val="Style21"/>
        <w:ind w:firstLine="540"/>
        <w:rPr>
          <w:caps/>
        </w:rPr>
      </w:pPr>
      <w:r>
        <w:rPr>
          <w:caps/>
        </w:rPr>
        <w:t>Бугурусланск</w:t>
      </w:r>
      <w:r>
        <w:rPr>
          <w:caps/>
        </w:rPr>
        <w:t>ОГО</w:t>
      </w:r>
      <w:r>
        <w:rPr>
          <w:caps/>
        </w:rPr>
        <w:t xml:space="preserve"> район</w:t>
      </w:r>
      <w:r>
        <w:rPr>
          <w:caps/>
        </w:rPr>
        <w:t>А</w:t>
      </w:r>
      <w:r>
        <w:rPr>
          <w:caps/>
        </w:rPr>
        <w:t xml:space="preserve"> Оренбургской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( </w:t>
      </w:r>
      <w:bookmarkStart w:id="0" w:name="_Hlk51667561"/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созыв)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РЕШЕНИЕ</w:t>
      </w:r>
    </w:p>
    <w:p>
      <w:pPr>
        <w:pStyle w:val="Style21"/>
        <w:ind w:firstLine="540"/>
        <w:rPr>
          <w:bCs w:val="false"/>
          <w:kern w:val="0"/>
          <w:szCs w:val="20"/>
        </w:rPr>
      </w:pPr>
      <w:r>
        <w:rPr>
          <w:bCs w:val="false"/>
          <w:kern w:val="0"/>
          <w:szCs w:val="20"/>
        </w:rPr>
      </w:r>
    </w:p>
    <w:p>
      <w:pPr>
        <w:pStyle w:val="Style21"/>
        <w:ind w:firstLine="540"/>
        <w:rPr>
          <w:b w:val="false"/>
          <w:b w:val="false"/>
        </w:rPr>
      </w:pPr>
      <w:r>
        <w:rPr>
          <w:b w:val="false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4C2369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1435" cy="635"/>
                <wp:effectExtent l="0" t="19050" r="19050" b="3810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3pt" to="503.95pt,4.3pt" ID="Прямая соединительная линия 1" stroked="t" style="position:absolute" wp14:anchorId="04C23696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-1080" w:right="-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28.12.2022                                                                                               № 95</w:t>
      </w:r>
    </w:p>
    <w:p>
      <w:pPr>
        <w:pStyle w:val="Normal"/>
        <w:ind w:left="-1080" w:right="-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«О бюджете муниципального образования «Аксаковский сельсовет»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Бугурусланского района Оренбургской области на 2023 год и плановый период 2024 и 2025 годов</w:t>
      </w:r>
    </w:p>
    <w:p>
      <w:pPr>
        <w:pStyle w:val="Normal"/>
        <w:ind w:right="853" w:hanging="0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Статья 1.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муниципального образования Аксаковский сельсовет (далее-местный бюджет) на 2023 год в размерах: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в сумме 24419,7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24419,7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в сумме 0, 0 тыс. рублей;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Аксаковский сельсовет на 1 января 2024 года – 0,0 тыс. рублей, в том числе верхний предел долга по муниципальным гарантиям – 0,0 тыс.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муниципального образования Аксаковский сельсовет на 2024 и 2025 годы в размерах: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2024 год в – 7108,4 тыс. рублей, на 2025 год – 7146,2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2024 год в – 7108,4 тыс. рублей, в том числе условно утвержденные расходы – 174,2 тыс. рублей, на 2025 год – 7146,2 тыс. рублей, в том числе условно утвержденные расходы – 350,1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2024 год - 0,0 тыс. рублей, на 2025 год - 0,0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муниципального образования Аксаковский сельсовет на 1 января 2025 года – 0,0 тыс. рублей, в том числе верхний предел долга по муниципальным гарантиям – 0,0 тыс. рублей, верхний предел муниципального внутреннего долга муниципального образования Аксаковский сельсовет на 1 января 2026 года – 0,0 тыс. рублей, в том числе верхний предел долга по муниципальным гарантиям – 0,0 тыс. рублей.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sz w:val="28"/>
        </w:rPr>
        <w:tab/>
      </w:r>
      <w:r>
        <w:rPr>
          <w:b/>
          <w:sz w:val="28"/>
          <w:szCs w:val="28"/>
        </w:rPr>
        <w:t>Статья 2.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Учесть поступление доходов в бюджет муниципального образования по кодам видов (подвидов) доходов на 2023 год и на плановый период 2024 и 2025 годов, согласно приложению № 1 к настоящему Решению.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2023 год и на  плановый  период 2024 и 2025 годов согласно приложению 2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 расходов бюджета муниципального образования  Аксаковский сельсовет на 2023 год и на плановый период 2024 и 2025 годов согласно приложению № 3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5.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муниципального образования  Аксаковский сельсовет на 2023 год и на плановый период  2024 и 2025 годов по разделам, подразделам, целевым статьям (муниципальным программам и непрограммным направлениям деятельности) и группам и подгруппам видов расходов классификации расходов согласно приложению № 4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6.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Утвердить распределение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бюджетных ассигнований бюджета муниципального образования  Аксаковский сельсовет на 2023 год и на плановый период 2024 и 2025 годов по целевым статьям (муниципальным программам и непрограммным направлениям деятельности), разделам, подразделам, группам  и  подгруппам видов расходов классификации расходов бюджетов, согласно приложению  №5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 муниципального  образования,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муниципального 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муниципального образования, связанных с изменениями бюджетной классификации;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в том числе между главными распорядителями бюджетных средств, в целях обеспечения условий софинансирования получения средств из других бюджетов бюджетной системы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бюджета  муниципального  района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бюджета муниципального  образования на фактически поступающие в бюджет муниципального  образования средства в случае и порядке, установленным пунктом 5 статьи 242 Бюджетного кодекса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средств бюджета муниципального района по разделам, подразделам, целевым статьям, видам расходов в целях исполнения обязательств бюджета муниципального образования в пределах общего объема бюджетных ассигнований бюджета муниципального района;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Бугурусланского  района и (или) нормативными правовыми актами, устанавливающими правила предоставления межбюджетных трансфертов;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задач национальных и федеральных проектов, и приоритетных проектов Оренбургской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областного бюджетов межбюджетных трансфертов, не имеющих целевого характера, в целях реализации региональных проектов, направленных на достижение целей и задач национальных и федеральных проектов, приоритетных проектов Оренбургской области и муниципальных программ муниципального образования и непрограммных мероприятий;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 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муниципального  образования, между разделами, подразделами, целевыми статьями, видами расходов на повышение оплаты труда работников муниципальных учреждений.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между мероприятиями муниципальных программ, а также разделами (подразделами), видами расходов в целях исполнения обязательств бюджета муниципального района;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муниципального образования.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главных распорядителей бюджетных средств в связи с консолидацией в бюджете муниципального образования средств, сэкономленных заказчиками при осуществлении закупок товаров, работ, услуг;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15 ноября 2023 года), учитываются при последующем внесении изменений в настоящее Решение.</w:t>
      </w:r>
    </w:p>
    <w:p>
      <w:pPr>
        <w:pStyle w:val="Normal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8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источники финансирования дефицита бюджета муниципального образования Аксаковский сельсовет на 2023 год и на плановый период 2024 и 2025 годов согласно приложению №6 к настоящему Решению.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трансфертов, подлежащих перечислению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2023 год в сумме 1664,3 тыс. рублей, на 2024 год в сумме 1664,2 тыс. рублей и 2025 год в сумме 1664,2 тыс.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1.Утвердить основные  параметры первоочередных  расходов бюджета  </w:t>
      </w:r>
      <w:r>
        <w:rPr>
          <w:sz w:val="28"/>
          <w:szCs w:val="28"/>
        </w:rPr>
        <w:t>муниципального образования Аксаковский сельсовет</w:t>
      </w:r>
      <w:r>
        <w:rPr>
          <w:sz w:val="28"/>
          <w:szCs w:val="28"/>
          <w:vertAlign w:val="subscript"/>
        </w:rPr>
        <w:t xml:space="preserve"> </w:t>
      </w:r>
      <w:r>
        <w:rPr>
          <w:iCs/>
          <w:sz w:val="28"/>
          <w:szCs w:val="28"/>
        </w:rPr>
        <w:t>на 2023 год в сумме 3589,7  тыс. рублей, в т.ч. на оплату труда с начислениями в сумме 1922,3  тыс. рублей, на оплату коммунальных услуг учреждений, в сумме 1667,4 тыс. рублей.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распределение основных параметров первоочередных расходов на 2023 год согласно приложению 7 к настоящему Решению.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11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муниципальных внутренних заимствований муниципального образования Аксаковский сельсовет на 2023 год и плановый период  2024 и 2025 годов согласно приложению №8 к настоящему Решению.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/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12</w:t>
      </w:r>
      <w:r>
        <w:rPr>
          <w:iCs/>
          <w:sz w:val="28"/>
          <w:szCs w:val="28"/>
        </w:rPr>
        <w:t>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Предоставление муниципальных гарантий на 2023 год и на плановый период 2024 и 2025 годов не предусматривается.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2.Бюджетные ассигнования на возможное исполнение муниципальных гарантий по гарантийным случаям на 2023 год и на плановый период 2024 и 2025 годов не предусматриваются.</w:t>
      </w:r>
    </w:p>
    <w:p>
      <w:pPr>
        <w:pStyle w:val="Normal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28" w:firstLine="567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Статья 13. </w:t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пунктом 2 статьи 184.1 Бюджетного кодекса Российской Федерации установить норматив зачисления доходов от безвозмездных поступлений в бюджет муниципального образования – 100 процентов</w:t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28" w:firstLine="567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Статья 14. </w:t>
      </w:r>
    </w:p>
    <w:p>
      <w:pPr>
        <w:pStyle w:val="Normal"/>
        <w:ind w:right="2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Установить, что размеры окладов денежного содержания по должностям муниципальной  службы МО Аксаковский сельсовет индексируются с 1 октября 2023 года с учетом уровня инфляции (потребительских цен).</w:t>
      </w:r>
    </w:p>
    <w:p>
      <w:pPr>
        <w:pStyle w:val="Normal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15</w:t>
      </w:r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2023 года и подлежит официального опубликования (обнародования).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365" w:hRule="atLeast"/>
        </w:trPr>
        <w:tc>
          <w:tcPr>
            <w:tcW w:w="15559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«Аксаковский сельсовет» на 2023 год 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2024 и 2025 годов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(подвидов) доходов                                               на 2023 год и на плановый период 2024 и 2025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</w:t>
      </w:r>
      <w:r>
        <w:rPr/>
        <w:t>Тыс.руб.</w:t>
      </w:r>
    </w:p>
    <w:tbl>
      <w:tblPr>
        <w:tblW w:w="153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8156"/>
        <w:gridCol w:w="1342"/>
        <w:gridCol w:w="1450"/>
        <w:gridCol w:w="1307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jc w:val="left"/>
              <w:rPr>
                <w:szCs w:val="24"/>
              </w:rPr>
            </w:pPr>
            <w:r>
              <w:rPr>
                <w:szCs w:val="24"/>
              </w:rPr>
              <w:t>НАЛОГОВЫЕ И НЕНАЛОГОВЫЕ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4677,5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4474,0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4598,9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441,0</w:t>
            </w:r>
          </w:p>
        </w:tc>
      </w:tr>
      <w:tr>
        <w:trPr>
          <w:trHeight w:val="112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437,0</w:t>
            </w:r>
          </w:p>
        </w:tc>
      </w:tr>
      <w:tr>
        <w:trPr>
          <w:trHeight w:val="834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>
              <w:r>
                <w:rPr>
                  <w:sz w:val="24"/>
                  <w:szCs w:val="24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1993,5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2193,9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1993,5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2193,9</w:t>
            </w:r>
          </w:p>
        </w:tc>
      </w:tr>
      <w:tr>
        <w:trPr>
          <w:trHeight w:val="32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944,2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1049,2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944,2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1049,2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1167,2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1266,9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1167,2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1266,9</w:t>
            </w:r>
          </w:p>
        </w:tc>
      </w:tr>
      <w:tr>
        <w:trPr>
          <w:trHeight w:val="115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-124,5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-131,0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-129,2</w:t>
            </w:r>
          </w:p>
        </w:tc>
      </w:tr>
      <w:tr>
        <w:trPr>
          <w:trHeight w:val="173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-124,5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-130,9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-129,2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759,0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759,0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206,0</w:t>
            </w:r>
          </w:p>
        </w:tc>
      </w:tr>
      <w:tr>
        <w:trPr>
          <w:trHeight w:val="509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94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100" w:after="100"/>
              <w:ind w:left="34" w:right="170" w:hanging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widowControl w:val="false"/>
              <w:spacing w:before="0" w:after="0"/>
              <w:ind w:left="34" w:right="170" w:hanging="0"/>
              <w:jc w:val="both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1105,0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111 05020 00 0000 120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right="17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Доходы, получаемые в виде арендной платы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>
              <w:rPr>
                <w:rStyle w:val="Appleconvertedspace"/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 xml:space="preserve">указанных земельных участков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</w:tr>
      <w:tr>
        <w:trPr>
          <w:trHeight w:val="1228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111 05025 10 0000 120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170" w:hanging="0"/>
              <w:contextualSpacing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1105,0</w:t>
            </w:r>
          </w:p>
        </w:tc>
      </w:tr>
      <w:tr>
        <w:trPr>
          <w:trHeight w:val="34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34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1 17 15000 00 0000 150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361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1 17 15030 10 0000 150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19742,2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2634,4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2547,3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19742,2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2634,4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2547,3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18599,0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2587,0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2587,0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2393,0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2 02 19999 00 0000 150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144,3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24419,7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7108,4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7146,2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2023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2024 и 2025 годов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муниципального образования по разделам и подразделам классификации расходов бюджета муниципального образования на 2023 год и на плановый период 2024 и 2025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ind w:right="-17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490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738"/>
        <w:gridCol w:w="9640"/>
        <w:gridCol w:w="1274"/>
        <w:gridCol w:w="1276"/>
        <w:gridCol w:w="1276"/>
      </w:tblGrid>
      <w:tr>
        <w:trPr>
          <w:trHeight w:val="70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2511,7</w:t>
            </w:r>
          </w:p>
        </w:tc>
      </w:tr>
      <w:tr>
        <w:trPr>
          <w:trHeight w:val="569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604.4</w:t>
            </w:r>
          </w:p>
        </w:tc>
      </w:tr>
      <w:tr>
        <w:trPr>
          <w:trHeight w:val="75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1514,1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</w:tr>
      <w:tr>
        <w:trPr>
          <w:trHeight w:val="278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390.4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139,4</w:t>
            </w:r>
          </w:p>
        </w:tc>
      </w:tr>
      <w:tr>
        <w:trPr>
          <w:trHeight w:val="42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</w:tr>
      <w:tr>
        <w:trPr>
          <w:trHeight w:val="40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2193,9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2193,9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550,2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окружающей среды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350,1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350,1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7146,2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2023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и плановый период 2024 и 2025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2023 год и на плановый период 2024 и 2025 годов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3260" w:leader="none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19" w:type="dxa"/>
        <w:jc w:val="left"/>
        <w:tblInd w:w="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7"/>
        <w:gridCol w:w="709"/>
        <w:gridCol w:w="708"/>
        <w:gridCol w:w="709"/>
        <w:gridCol w:w="1559"/>
        <w:gridCol w:w="709"/>
        <w:gridCol w:w="1276"/>
        <w:gridCol w:w="1134"/>
        <w:gridCol w:w="1226"/>
      </w:tblGrid>
      <w:tr>
        <w:trPr>
          <w:trHeight w:val="878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главы 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013      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24419,7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7108,4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7146,2</w:t>
            </w:r>
          </w:p>
        </w:tc>
      </w:tr>
      <w:tr>
        <w:trPr>
          <w:trHeight w:val="213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2544,8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2511,7</w:t>
            </w:r>
          </w:p>
        </w:tc>
      </w:tr>
      <w:tr>
        <w:trPr>
          <w:trHeight w:val="69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604,4</w:t>
            </w:r>
          </w:p>
        </w:tc>
      </w:tr>
      <w:tr>
        <w:trPr>
          <w:trHeight w:val="32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604,4</w:t>
            </w:r>
          </w:p>
        </w:tc>
      </w:tr>
      <w:tr>
        <w:trPr>
          <w:trHeight w:val="31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29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55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84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1547,2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1514,1</w:t>
            </w:r>
          </w:p>
        </w:tc>
      </w:tr>
      <w:tr>
        <w:trPr>
          <w:trHeight w:val="85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1512,2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1479,1</w:t>
            </w:r>
          </w:p>
        </w:tc>
      </w:tr>
      <w:tr>
        <w:trPr>
          <w:trHeight w:val="2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1479,1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1479,1</w:t>
            </w:r>
          </w:p>
        </w:tc>
      </w:tr>
      <w:tr>
        <w:trPr>
          <w:trHeight w:val="28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1479,1</w:t>
            </w:r>
          </w:p>
        </w:tc>
      </w:tr>
      <w:tr>
        <w:trPr>
          <w:trHeight w:val="42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</w:tr>
      <w:tr>
        <w:trPr>
          <w:trHeight w:val="30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85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35,0</w:t>
            </w:r>
          </w:p>
        </w:tc>
      </w:tr>
      <w:tr>
        <w:trPr>
          <w:trHeight w:val="26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10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28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55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2,8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1080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390,4</w:t>
            </w:r>
          </w:p>
        </w:tc>
      </w:tr>
      <w:tr>
        <w:trPr>
          <w:trHeight w:val="92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390,4</w:t>
            </w:r>
          </w:p>
        </w:tc>
      </w:tr>
      <w:tr>
        <w:trPr>
          <w:trHeight w:val="26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390,4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139,4</w:t>
            </w:r>
          </w:p>
        </w:tc>
      </w:tr>
      <w:tr>
        <w:trPr>
          <w:trHeight w:val="84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139,4</w:t>
            </w:r>
          </w:p>
        </w:tc>
      </w:tr>
      <w:tr>
        <w:trPr>
          <w:trHeight w:val="30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«Выполнение переданных полномочий»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451180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451180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4,9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9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2193,9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2193,9</w:t>
            </w:r>
          </w:p>
        </w:tc>
      </w:tr>
      <w:tr>
        <w:trPr>
          <w:trHeight w:val="116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2193,9</w:t>
            </w:r>
          </w:p>
        </w:tc>
      </w:tr>
      <w:tr>
        <w:trPr>
          <w:trHeight w:val="24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852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1256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поселений за счет средств дотации, распределенной исходя из необходимости осуществления дорожной деятельности в отношении дорог местного значения»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124029Д010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124029Д010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</w:rPr>
              <w:t xml:space="preserve">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2193,9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550,2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550,2</w:t>
            </w:r>
          </w:p>
        </w:tc>
      </w:tr>
      <w:tr>
        <w:trPr>
          <w:trHeight w:val="1014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550,2</w:t>
            </w:r>
          </w:p>
        </w:tc>
      </w:tr>
      <w:tr>
        <w:trPr>
          <w:trHeight w:val="207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77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115П5</w:t>
            </w:r>
            <w:r>
              <w:rPr>
                <w:bCs/>
                <w:sz w:val="24"/>
                <w:szCs w:val="24"/>
                <w:lang w:val="en-US"/>
              </w:rPr>
              <w:t>S1412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115П5</w:t>
            </w:r>
            <w:r>
              <w:rPr>
                <w:bCs/>
                <w:sz w:val="24"/>
                <w:szCs w:val="24"/>
                <w:lang w:val="en-US"/>
              </w:rPr>
              <w:t>S1412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1141397080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613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1141397080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</w:tr>
      <w:tr>
        <w:trPr>
          <w:trHeight w:val="76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1236,,0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1236,0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1540400000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11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27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350,1</w:t>
            </w:r>
          </w:p>
        </w:tc>
      </w:tr>
      <w:tr>
        <w:trPr>
          <w:trHeight w:val="311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0000000000 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350,1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350,1</w:t>
            </w:r>
          </w:p>
        </w:tc>
      </w:tr>
      <w:tr>
        <w:trPr>
          <w:trHeight w:val="40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7108,4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7146,2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en-US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2023 год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и плановый период 2024 и 2025 годов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Аксаковский сельсовет на 2023 год и на плановый период 2024 и 2025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>
      <w:pPr>
        <w:pStyle w:val="Normal"/>
        <w:jc w:val="center"/>
        <w:rPr/>
      </w:pPr>
      <w:r>
        <w:rPr>
          <w:sz w:val="28"/>
          <w:szCs w:val="28"/>
        </w:rPr>
        <w:t>классификации расходов</w:t>
      </w:r>
      <w:r>
        <w:rPr/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4884" w:type="dxa"/>
        <w:jc w:val="left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709"/>
        <w:gridCol w:w="567"/>
        <w:gridCol w:w="1560"/>
        <w:gridCol w:w="708"/>
        <w:gridCol w:w="1276"/>
        <w:gridCol w:w="1229"/>
        <w:gridCol w:w="1179"/>
      </w:tblGrid>
      <w:tr>
        <w:trPr>
          <w:trHeight w:val="878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>
        <w:trPr>
          <w:trHeight w:val="360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2544,8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2511,7</w:t>
            </w:r>
          </w:p>
        </w:tc>
      </w:tr>
      <w:tr>
        <w:trPr>
          <w:trHeight w:val="69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604,4</w:t>
            </w:r>
          </w:p>
        </w:tc>
      </w:tr>
      <w:tr>
        <w:trPr>
          <w:trHeight w:val="32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3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29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55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84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1547,2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1514,1</w:t>
            </w:r>
          </w:p>
        </w:tc>
      </w:tr>
      <w:tr>
        <w:trPr>
          <w:trHeight w:val="2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1512,2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1479,1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1512,2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1479,1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«Обеспечение деятельности аппарата управления сельсовета»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1512,2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1479,1</w:t>
            </w:r>
          </w:p>
        </w:tc>
      </w:tr>
      <w:tr>
        <w:trPr>
          <w:trHeight w:val="301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1512,2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1479,1</w:t>
            </w:r>
          </w:p>
        </w:tc>
      </w:tr>
      <w:tr>
        <w:trPr>
          <w:trHeight w:val="428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</w:tr>
      <w:tr>
        <w:trPr>
          <w:trHeight w:val="27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621,8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</w:tr>
      <w:tr>
        <w:trPr>
          <w:trHeight w:val="30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10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3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55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2,8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7710000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108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390,4</w:t>
            </w:r>
          </w:p>
        </w:tc>
      </w:tr>
      <w:tr>
        <w:trPr>
          <w:trHeight w:val="431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25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139,4</w:t>
            </w:r>
          </w:p>
        </w:tc>
      </w:tr>
      <w:tr>
        <w:trPr>
          <w:trHeight w:val="84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128,5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«Выполнение переданных полномочий»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4,9</w:t>
            </w:r>
          </w:p>
        </w:tc>
      </w:tr>
      <w:tr>
        <w:trPr>
          <w:trHeight w:val="60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7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«Меры поддержки общественных объединений  пожарной  охраны и добровольных пожарных в Бугурусланском районе»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6095,5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2193,9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6095,5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2193,9</w:t>
            </w:r>
          </w:p>
        </w:tc>
      </w:tr>
      <w:tr>
        <w:trPr>
          <w:trHeight w:val="1002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6095,5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2193,9</w:t>
            </w:r>
          </w:p>
        </w:tc>
      </w:tr>
      <w:tr>
        <w:trPr>
          <w:trHeight w:val="312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6095,5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2193,9</w:t>
            </w:r>
          </w:p>
        </w:tc>
      </w:tr>
      <w:tr>
        <w:trPr>
          <w:trHeight w:val="88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«Капитальный ремонт и ремонт автомобильных дорог общего пользования населенных пунктов за счет средств местного значения»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1240200000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>
          <w:trHeight w:val="51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поселений за счет средств дотации, распределённой исходя  из необходимости осуществления дорожной деятельности в отношении дорог местного значения»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124029Д010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124029Д010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</w:rPr>
              <w:t xml:space="preserve">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2193,9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3220,6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550,2</w:t>
            </w:r>
          </w:p>
        </w:tc>
      </w:tr>
      <w:tr>
        <w:trPr>
          <w:trHeight w:val="263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1634,1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550,2</w:t>
            </w:r>
          </w:p>
        </w:tc>
      </w:tr>
      <w:tr>
        <w:trPr>
          <w:trHeight w:val="616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1634,1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550,2</w:t>
            </w:r>
          </w:p>
        </w:tc>
      </w:tr>
      <w:tr>
        <w:trPr>
          <w:trHeight w:val="33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1634,1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550,2</w:t>
            </w:r>
          </w:p>
        </w:tc>
      </w:tr>
      <w:tr>
        <w:trPr>
          <w:trHeight w:val="44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21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1586,5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78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1586,5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1586,5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1586,5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инициативных проектов на муниципальном уровне (благоустройство мест захоронения)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</w:t>
            </w:r>
            <w:r>
              <w:rPr>
                <w:bCs/>
                <w:sz w:val="24"/>
                <w:szCs w:val="24"/>
                <w:lang w:val="en-US"/>
              </w:rPr>
              <w:t>S1412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</w:t>
            </w:r>
            <w:r>
              <w:rPr>
                <w:bCs/>
                <w:sz w:val="24"/>
                <w:szCs w:val="24"/>
                <w:lang w:val="en-US"/>
              </w:rPr>
              <w:t>S1412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281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281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281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281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1141397080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1141397080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299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1236,0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1540400000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11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7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2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174,2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350,1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0000000000 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174,2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350,1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350,1</w:t>
            </w:r>
          </w:p>
        </w:tc>
      </w:tr>
      <w:tr>
        <w:trPr>
          <w:trHeight w:val="40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24419,7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7108,4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7146,2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5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2023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2024 и 2025 годов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2023 году и плановый период 2024 и 2025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(тыс.рублей)</w:t>
      </w:r>
    </w:p>
    <w:tbl>
      <w:tblPr>
        <w:tblW w:w="15587" w:type="dxa"/>
        <w:jc w:val="left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3"/>
        <w:gridCol w:w="1554"/>
        <w:gridCol w:w="703"/>
        <w:gridCol w:w="563"/>
        <w:gridCol w:w="704"/>
        <w:gridCol w:w="1082"/>
        <w:gridCol w:w="1135"/>
        <w:gridCol w:w="991"/>
      </w:tblGrid>
      <w:tr>
        <w:trPr>
          <w:trHeight w:val="87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КЦСР </w:t>
            </w:r>
          </w:p>
        </w:tc>
        <w:tc>
          <w:tcPr>
            <w:tcW w:w="70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>
        <w:trPr>
          <w:trHeight w:val="272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13720,6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550,2</w:t>
            </w:r>
          </w:p>
        </w:tc>
      </w:tr>
      <w:tr>
        <w:trPr>
          <w:trHeight w:val="75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13720,6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550,2</w:t>
            </w:r>
          </w:p>
        </w:tc>
      </w:tr>
      <w:tr>
        <w:trPr>
          <w:trHeight w:val="691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419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412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535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1140197010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1634,1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550,2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инициативных проектов на муниципальном уровне (Благоустройство мест захоронения)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1412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115П5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1412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«Разработка проектно-сметной документации в целях реализации мероприятий, направленных на ликвидацию мест несанкционированного размещения отходов»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1141397080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1141397080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94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6095,5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2193,9</w:t>
            </w:r>
          </w:p>
        </w:tc>
      </w:tr>
      <w:tr>
        <w:trPr>
          <w:trHeight w:val="319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1240000000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6095,5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2193,9</w:t>
            </w:r>
          </w:p>
        </w:tc>
      </w:tr>
      <w:tr>
        <w:trPr>
          <w:trHeight w:val="102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0200000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59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дотации, распределяемой исходя из необходимости осуществления дорожной деятельности в отношении дорог местного значения»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29Д010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414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29Д010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544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29Д010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68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>
              <w:rPr>
                <w:bCs/>
                <w:sz w:val="24"/>
                <w:szCs w:val="24"/>
              </w:rPr>
              <w:t>4029Д010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>
        <w:trPr>
          <w:trHeight w:val="46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«Содержание автомобильных дорог и инженерных сооружений на них в границах  поселений»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1993,5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2193,9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1993,5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2193,9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1993,5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2193,9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1993,5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2193,9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1240394020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1993,5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2193,9</w:t>
            </w:r>
          </w:p>
        </w:tc>
      </w:tr>
      <w:tr>
        <w:trPr>
          <w:trHeight w:val="814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</w:tr>
      <w:tr>
        <w:trPr>
          <w:trHeight w:val="117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</w:tr>
      <w:tr>
        <w:trPr>
          <w:trHeight w:val="542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«Меры поддержки общественных объединений  пожарной  охраны и добровольных пожарных в муниципальном образовании сельсовета»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1340100000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686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453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1340193010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4353,7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3882,4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3854,2</w:t>
            </w:r>
          </w:p>
        </w:tc>
      </w:tr>
      <w:tr>
        <w:trPr>
          <w:trHeight w:val="545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40000000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4353,7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3882,4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3854,2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«Обеспечение деятельности органов местного самоуправления»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Центральный аппарат органов местного самоуправления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1479,1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40110100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муниципального образования»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1540210110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1540210000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«Выполнение переданных полномочий»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1540351180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351180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  <w:r>
              <w:rPr>
                <w:i/>
                <w:sz w:val="24"/>
                <w:szCs w:val="24"/>
              </w:rPr>
              <w:t>40359302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  <w:r>
              <w:rPr>
                <w:i/>
                <w:sz w:val="24"/>
                <w:szCs w:val="24"/>
              </w:rPr>
              <w:t>40359302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  <w:r>
              <w:rPr>
                <w:i/>
                <w:sz w:val="24"/>
                <w:szCs w:val="24"/>
              </w:rPr>
              <w:t>40359302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40359300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sz w:val="24"/>
                <w:szCs w:val="24"/>
              </w:rPr>
              <w:t xml:space="preserve"> «Передача межбюджетных трансфертов в бюджет района»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390,4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1236,0</w:t>
            </w:r>
          </w:p>
        </w:tc>
      </w:tr>
      <w:tr>
        <w:trPr>
          <w:trHeight w:val="360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1540460010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1236,0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Cs/>
                <w:sz w:val="24"/>
                <w:szCs w:val="24"/>
              </w:rPr>
              <w:t xml:space="preserve"> «Передача межбюджетных трансфертов в бюджет муниципального района»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1840100000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1840160010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>
        <w:trPr>
          <w:trHeight w:val="398" w:hRule="atLeast"/>
        </w:trPr>
        <w:tc>
          <w:tcPr>
            <w:tcW w:w="8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1840160010 </w:t>
            </w:r>
          </w:p>
        </w:tc>
        <w:tc>
          <w:tcPr>
            <w:tcW w:w="70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>
        <w:trPr>
          <w:trHeight w:val="423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</w:tr>
      <w:tr>
        <w:trPr>
          <w:trHeight w:val="423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0060010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350,1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350,1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350,1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350,1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350,1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350,1</w:t>
            </w:r>
          </w:p>
        </w:tc>
      </w:tr>
      <w:tr>
        <w:trPr>
          <w:trHeight w:val="405" w:hRule="atLeast"/>
        </w:trPr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24419,7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7146,2</w:t>
            </w:r>
          </w:p>
        </w:tc>
      </w:tr>
    </w:tbl>
    <w:p>
      <w:pPr>
        <w:pStyle w:val="Normal"/>
        <w:ind w:right="-598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 решению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2023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2024 и 2025 годов  </w:t>
      </w:r>
    </w:p>
    <w:p>
      <w:pPr>
        <w:pStyle w:val="Normal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муниципального образования Аксаковский сельсовет Бугурусланского района Оренбургской области на 2023 год и на плановый период 2024 и 2025 годов</w:t>
      </w:r>
    </w:p>
    <w:p>
      <w:pPr>
        <w:pStyle w:val="Normal"/>
        <w:jc w:val="right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6"/>
        <w:gridCol w:w="8080"/>
        <w:gridCol w:w="1135"/>
        <w:gridCol w:w="1274"/>
        <w:gridCol w:w="1135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-24419,7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-7108,4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-7146,2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-24419,7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-7108,4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-7146,2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-24419,7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-7108,4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-7146,2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-24419,7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-7108,4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-7146,2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7146,2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7146,2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7146,2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7146,2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Бугурусланского района Оренбургской области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2023 год и на плановый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2024 и 2025 годов»</w:t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параметры первоочередных расходов бюджета муниципального образования  Аксаковский сельсовет Бугурусланского района Оренбургской области на 2023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"/>
        <w:gridCol w:w="6391"/>
        <w:gridCol w:w="1911"/>
      </w:tblGrid>
      <w:tr>
        <w:trPr/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1922,3</w:t>
            </w:r>
          </w:p>
        </w:tc>
      </w:tr>
      <w:tr>
        <w:trPr/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1397,0</w:t>
            </w:r>
          </w:p>
        </w:tc>
      </w:tr>
      <w:tr>
        <w:trPr/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525,3</w:t>
            </w:r>
          </w:p>
        </w:tc>
      </w:tr>
      <w:tr>
        <w:trPr/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в т.ч.: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</w:tr>
      <w:tr>
        <w:trPr/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>
        <w:trPr/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местного самоуправления,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>
        <w:trPr/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оплату коммунальных услуг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1667,4</w:t>
            </w:r>
          </w:p>
        </w:tc>
      </w:tr>
    </w:tbl>
    <w:p>
      <w:pPr>
        <w:pStyle w:val="Normal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</w:r>
    </w:p>
    <w:p>
      <w:pPr>
        <w:pStyle w:val="Normal"/>
        <w:keepNext w:val="true"/>
        <w:numPr>
          <w:ilvl w:val="0"/>
          <w:numId w:val="0"/>
        </w:numPr>
        <w:spacing w:before="240" w:after="60"/>
        <w:ind w:firstLine="10080"/>
        <w:jc w:val="right"/>
        <w:outlineLvl w:val="0"/>
        <w:rPr>
          <w:rFonts w:cs="Arial"/>
          <w:bCs/>
          <w:kern w:val="2"/>
          <w:sz w:val="24"/>
          <w:szCs w:val="24"/>
        </w:rPr>
      </w:pPr>
      <w:r>
        <w:rPr>
          <w:rFonts w:cs="Arial"/>
          <w:bCs/>
          <w:kern w:val="2"/>
          <w:sz w:val="24"/>
          <w:szCs w:val="24"/>
        </w:rPr>
        <w:t>Приложение №8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bookmarkStart w:id="1" w:name="_GoBack"/>
      <w:bookmarkEnd w:id="1"/>
      <w:r>
        <w:rPr>
          <w:sz w:val="24"/>
          <w:szCs w:val="24"/>
        </w:rPr>
        <w:t xml:space="preserve">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Бугурусланского района Оренбургской области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на 2023 год и на плановый период 2024 и 2025 годов»</w:t>
      </w:r>
    </w:p>
    <w:p>
      <w:pPr>
        <w:pStyle w:val="Normal"/>
        <w:ind w:firstLine="8505"/>
        <w:jc w:val="right"/>
        <w:rPr>
          <w:sz w:val="4"/>
          <w:szCs w:val="24"/>
          <w:vertAlign w:val="subscript"/>
        </w:rPr>
      </w:pPr>
      <w:r>
        <w:rPr>
          <w:sz w:val="4"/>
          <w:szCs w:val="24"/>
          <w:vertAlign w:val="subscript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Аксаковский сельсовет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 на 2023 год и на плановый период 2024 и 2025 годов</w:t>
      </w:r>
    </w:p>
    <w:p>
      <w:pPr>
        <w:pStyle w:val="Normal"/>
        <w:jc w:val="both"/>
        <w:rPr>
          <w:sz w:val="2"/>
          <w:szCs w:val="28"/>
          <w:vertAlign w:val="subscript"/>
        </w:rPr>
      </w:pPr>
      <w:r>
        <w:rPr>
          <w:sz w:val="2"/>
          <w:szCs w:val="28"/>
          <w:vertAlign w:val="subscript"/>
        </w:rPr>
      </w:r>
    </w:p>
    <w:p>
      <w:pPr>
        <w:pStyle w:val="Normal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(тыс. рублей)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W w:w="143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0"/>
        <w:gridCol w:w="1847"/>
        <w:gridCol w:w="2000"/>
        <w:gridCol w:w="1845"/>
        <w:gridCol w:w="2000"/>
        <w:gridCol w:w="1854"/>
        <w:gridCol w:w="2000"/>
      </w:tblGrid>
      <w:tr>
        <w:trPr>
          <w:tblHeader w:val="true"/>
          <w:trHeight w:val="157" w:hRule="atLeast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2024 года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года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>
        <w:trPr>
          <w:trHeight w:val="855" w:hRule="atLeast"/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59" w:leader="none"/>
              </w:tabs>
              <w:spacing w:before="0" w:after="0"/>
              <w:ind w:left="34" w:hanging="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59" w:leader="none"/>
              </w:tabs>
              <w:spacing w:before="0" w:after="0"/>
              <w:ind w:left="34" w:hanging="0"/>
              <w:contextualSpacing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Погашение муниципальных ценных бумаг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-----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>
        <w:trPr>
          <w:trHeight w:val="1327" w:hRule="exact"/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0" w:hanging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0" w:hanging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Погашение кредитов, привлеченных от кредитных организаций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 кредитов из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3"/>
              </w:numPr>
              <w:ind w:left="34" w:hanging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1.1. Бюджетные кредиты, предоставленные за счет средств федерального бюджета на пополнение остатков средств на едином счете бюджета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Погашение бюджетом муниципального образования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2.1. Бюджетные кредиты, предоставленные за счет средств областного бюджета на пополнение остатков средств на едином счете бюджета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2.2. Бюджетные кредиты, предоставленные для частичного покрытия дефицита бюджета муниципального образования области, возврат которых осуществляется муниципальным образованием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0"/>
        <w:rPr>
          <w:color w:val="FF0000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4e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Заголовок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be15b4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eastAsia="ru-RU" w:val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hyperlink" Target="consultantplus://offline/ref=2D600DE88F1F0E6629CBA98A81B44B0564AD0E2AB9C75338D643C7071C6DF3A159DD296EAC929ACBO1jB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8E80-503C-4F21-AE44-4D247108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42</Pages>
  <Words>8178</Words>
  <Characters>53672</Characters>
  <CharactersWithSpaces>59639</CharactersWithSpaces>
  <Paragraphs>3166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2022-12-27T06:02:00Z</dcterms:created>
  <dc:creator>1</dc:creator>
  <dc:description/>
  <dc:language>ru-RU</dc:language>
  <cp:lastModifiedBy/>
  <cp:lastPrinted>2022-12-06T09:14:00Z</cp:lastPrinted>
  <dcterms:modified xsi:type="dcterms:W3CDTF">2022-12-27T15:51:56Z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